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9" w:type="dxa"/>
        <w:tblLayout w:type="fixed"/>
        <w:tblLook w:val="04A0" w:firstRow="1" w:lastRow="0" w:firstColumn="1" w:lastColumn="0" w:noHBand="0" w:noVBand="1"/>
      </w:tblPr>
      <w:tblGrid>
        <w:gridCol w:w="5068"/>
        <w:gridCol w:w="1308"/>
        <w:gridCol w:w="1462"/>
        <w:gridCol w:w="380"/>
        <w:gridCol w:w="1700"/>
        <w:gridCol w:w="241"/>
      </w:tblGrid>
      <w:tr w:rsidR="00450938" w:rsidRPr="00EF34F1" w:rsidTr="00F2744E">
        <w:trPr>
          <w:gridAfter w:val="1"/>
          <w:wAfter w:w="241" w:type="dxa"/>
          <w:trHeight w:val="465"/>
        </w:trPr>
        <w:tc>
          <w:tcPr>
            <w:tcW w:w="5068" w:type="dxa"/>
            <w:noWrap/>
            <w:hideMark/>
          </w:tcPr>
          <w:p w:rsidR="00450938" w:rsidRPr="009E215C" w:rsidRDefault="00450938">
            <w:pPr>
              <w:rPr>
                <w:rFonts w:ascii="Arial" w:hAnsi="Arial" w:cs="Arial"/>
                <w:sz w:val="20"/>
                <w:szCs w:val="20"/>
              </w:rPr>
            </w:pPr>
            <w:r w:rsidRPr="009E215C">
              <w:rPr>
                <w:rFonts w:ascii="Arial" w:hAnsi="Arial" w:cs="Arial"/>
                <w:sz w:val="20"/>
                <w:szCs w:val="20"/>
              </w:rPr>
              <w:t xml:space="preserve">     </w:t>
            </w:r>
          </w:p>
        </w:tc>
        <w:tc>
          <w:tcPr>
            <w:tcW w:w="2770" w:type="dxa"/>
            <w:gridSpan w:val="2"/>
            <w:noWrap/>
            <w:hideMark/>
          </w:tcPr>
          <w:p w:rsidR="00450938" w:rsidRPr="00EF34F1" w:rsidRDefault="00450938" w:rsidP="004D35AB">
            <w:pPr>
              <w:ind w:right="-1909"/>
              <w:rPr>
                <w:rFonts w:ascii="Arial" w:hAnsi="Arial" w:cs="Arial"/>
                <w:sz w:val="20"/>
                <w:szCs w:val="20"/>
              </w:rPr>
            </w:pPr>
            <w:r w:rsidRPr="00EF34F1">
              <w:rPr>
                <w:rFonts w:ascii="Arial" w:hAnsi="Arial" w:cs="Arial"/>
                <w:noProof/>
                <w:sz w:val="20"/>
                <w:szCs w:val="20"/>
                <w:lang w:eastAsia="en-GB"/>
              </w:rPr>
              <w:drawing>
                <wp:anchor distT="0" distB="0" distL="114300" distR="114300" simplePos="0" relativeHeight="251663360" behindDoc="0" locked="0" layoutInCell="1" allowOverlap="1" wp14:anchorId="35BCEB4E" wp14:editId="2B9BF192">
                  <wp:simplePos x="0" y="0"/>
                  <wp:positionH relativeFrom="column">
                    <wp:posOffset>636270</wp:posOffset>
                  </wp:positionH>
                  <wp:positionV relativeFrom="paragraph">
                    <wp:posOffset>44450</wp:posOffset>
                  </wp:positionV>
                  <wp:extent cx="1963420" cy="1033780"/>
                  <wp:effectExtent l="0" t="0" r="0" b="0"/>
                  <wp:wrapNone/>
                  <wp:docPr id="5" name="Picture 5" descr="Description: ACCA_Primary Logo_RGB_Pos"/>
                  <wp:cNvGraphicFramePr/>
                  <a:graphic xmlns:a="http://schemas.openxmlformats.org/drawingml/2006/main">
                    <a:graphicData uri="http://schemas.openxmlformats.org/drawingml/2006/picture">
                      <pic:pic xmlns:pic="http://schemas.openxmlformats.org/drawingml/2006/picture">
                        <pic:nvPicPr>
                          <pic:cNvPr id="3" name="Picture 4" descr="Description: ACCA_Primary Logo_RGB_P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3420" cy="103378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960"/>
            </w:tblGrid>
            <w:tr w:rsidR="00450938" w:rsidRPr="00EF34F1" w:rsidTr="0056380A">
              <w:trPr>
                <w:trHeight w:val="465"/>
                <w:tblCellSpacing w:w="0" w:type="dxa"/>
              </w:trPr>
              <w:tc>
                <w:tcPr>
                  <w:tcW w:w="1960" w:type="dxa"/>
                  <w:tcBorders>
                    <w:top w:val="nil"/>
                    <w:left w:val="nil"/>
                    <w:bottom w:val="nil"/>
                    <w:right w:val="nil"/>
                  </w:tcBorders>
                  <w:shd w:val="clear" w:color="auto" w:fill="auto"/>
                  <w:noWrap/>
                  <w:vAlign w:val="bottom"/>
                  <w:hideMark/>
                </w:tcPr>
                <w:p w:rsidR="00450938" w:rsidRPr="00EF34F1" w:rsidRDefault="00450938">
                  <w:pPr>
                    <w:rPr>
                      <w:rFonts w:ascii="Arial" w:hAnsi="Arial" w:cs="Arial"/>
                      <w:sz w:val="20"/>
                      <w:szCs w:val="20"/>
                    </w:rPr>
                  </w:pPr>
                </w:p>
              </w:tc>
            </w:tr>
          </w:tbl>
          <w:p w:rsidR="00450938" w:rsidRPr="00EF34F1" w:rsidRDefault="00450938">
            <w:pPr>
              <w:rPr>
                <w:rFonts w:ascii="Arial" w:hAnsi="Arial" w:cs="Arial"/>
                <w:sz w:val="20"/>
                <w:szCs w:val="20"/>
              </w:rPr>
            </w:pPr>
          </w:p>
        </w:tc>
        <w:tc>
          <w:tcPr>
            <w:tcW w:w="2080" w:type="dxa"/>
            <w:gridSpan w:val="2"/>
            <w:noWrap/>
            <w:hideMark/>
          </w:tcPr>
          <w:p w:rsidR="00450938" w:rsidRPr="00EF34F1" w:rsidRDefault="00450938">
            <w:pPr>
              <w:rPr>
                <w:rFonts w:ascii="Arial" w:hAnsi="Arial" w:cs="Arial"/>
                <w:sz w:val="20"/>
                <w:szCs w:val="20"/>
              </w:rPr>
            </w:pPr>
          </w:p>
        </w:tc>
      </w:tr>
      <w:tr w:rsidR="00450938" w:rsidRPr="00EF34F1" w:rsidTr="00F2744E">
        <w:trPr>
          <w:gridAfter w:val="1"/>
          <w:wAfter w:w="241" w:type="dxa"/>
          <w:trHeight w:val="300"/>
        </w:trPr>
        <w:tc>
          <w:tcPr>
            <w:tcW w:w="5068" w:type="dxa"/>
            <w:noWrap/>
            <w:hideMark/>
          </w:tcPr>
          <w:p w:rsidR="00450938" w:rsidRPr="00EF34F1" w:rsidRDefault="00450938">
            <w:pPr>
              <w:rPr>
                <w:rFonts w:ascii="Arial" w:hAnsi="Arial" w:cs="Arial"/>
                <w:sz w:val="20"/>
                <w:szCs w:val="20"/>
              </w:rPr>
            </w:pPr>
          </w:p>
        </w:tc>
        <w:tc>
          <w:tcPr>
            <w:tcW w:w="2770" w:type="dxa"/>
            <w:gridSpan w:val="2"/>
            <w:noWrap/>
            <w:hideMark/>
          </w:tcPr>
          <w:p w:rsidR="00450938" w:rsidRPr="00EF34F1" w:rsidRDefault="00450938">
            <w:pPr>
              <w:rPr>
                <w:rFonts w:ascii="Arial" w:hAnsi="Arial" w:cs="Arial"/>
                <w:sz w:val="20"/>
                <w:szCs w:val="20"/>
              </w:rPr>
            </w:pPr>
          </w:p>
        </w:tc>
        <w:tc>
          <w:tcPr>
            <w:tcW w:w="2080" w:type="dxa"/>
            <w:gridSpan w:val="2"/>
            <w:noWrap/>
            <w:hideMark/>
          </w:tcPr>
          <w:p w:rsidR="00450938" w:rsidRPr="00EF34F1" w:rsidRDefault="00450938">
            <w:pPr>
              <w:rPr>
                <w:rFonts w:ascii="Arial" w:hAnsi="Arial" w:cs="Arial"/>
                <w:sz w:val="20"/>
                <w:szCs w:val="20"/>
              </w:rPr>
            </w:pPr>
          </w:p>
        </w:tc>
      </w:tr>
      <w:tr w:rsidR="00450938" w:rsidRPr="00EF34F1" w:rsidTr="00F2744E">
        <w:trPr>
          <w:gridAfter w:val="1"/>
          <w:wAfter w:w="241" w:type="dxa"/>
          <w:trHeight w:val="360"/>
        </w:trPr>
        <w:tc>
          <w:tcPr>
            <w:tcW w:w="5068" w:type="dxa"/>
            <w:noWrap/>
            <w:hideMark/>
          </w:tcPr>
          <w:p w:rsidR="00450938" w:rsidRPr="00EF34F1" w:rsidRDefault="00450938">
            <w:pPr>
              <w:rPr>
                <w:rFonts w:ascii="Arial" w:hAnsi="Arial" w:cs="Arial"/>
                <w:sz w:val="28"/>
                <w:szCs w:val="28"/>
              </w:rPr>
            </w:pPr>
            <w:r w:rsidRPr="00EF34F1">
              <w:rPr>
                <w:rFonts w:ascii="Arial" w:hAnsi="Arial" w:cs="Arial"/>
                <w:sz w:val="28"/>
                <w:szCs w:val="28"/>
              </w:rPr>
              <w:t>Guide from</w:t>
            </w:r>
          </w:p>
        </w:tc>
        <w:tc>
          <w:tcPr>
            <w:tcW w:w="2770" w:type="dxa"/>
            <w:gridSpan w:val="2"/>
            <w:noWrap/>
            <w:hideMark/>
          </w:tcPr>
          <w:p w:rsidR="00450938" w:rsidRPr="00EF34F1" w:rsidRDefault="00450938">
            <w:pPr>
              <w:rPr>
                <w:rFonts w:ascii="Arial" w:hAnsi="Arial" w:cs="Arial"/>
                <w:sz w:val="20"/>
                <w:szCs w:val="20"/>
              </w:rPr>
            </w:pPr>
          </w:p>
        </w:tc>
        <w:tc>
          <w:tcPr>
            <w:tcW w:w="2080" w:type="dxa"/>
            <w:gridSpan w:val="2"/>
            <w:noWrap/>
            <w:hideMark/>
          </w:tcPr>
          <w:p w:rsidR="00450938" w:rsidRPr="00EF34F1" w:rsidRDefault="00450938">
            <w:pPr>
              <w:rPr>
                <w:rFonts w:ascii="Arial" w:hAnsi="Arial" w:cs="Arial"/>
                <w:sz w:val="20"/>
                <w:szCs w:val="20"/>
              </w:rPr>
            </w:pPr>
          </w:p>
        </w:tc>
      </w:tr>
      <w:tr w:rsidR="00450938" w:rsidRPr="00EF34F1" w:rsidTr="00F2744E">
        <w:trPr>
          <w:gridAfter w:val="1"/>
          <w:wAfter w:w="241" w:type="dxa"/>
          <w:trHeight w:val="540"/>
        </w:trPr>
        <w:tc>
          <w:tcPr>
            <w:tcW w:w="7838" w:type="dxa"/>
            <w:gridSpan w:val="3"/>
            <w:noWrap/>
            <w:hideMark/>
          </w:tcPr>
          <w:p w:rsidR="00450938" w:rsidRPr="00EF34F1" w:rsidRDefault="00EB5B73">
            <w:pPr>
              <w:rPr>
                <w:rFonts w:ascii="Arial" w:hAnsi="Arial" w:cs="Arial"/>
                <w:sz w:val="44"/>
                <w:szCs w:val="44"/>
              </w:rPr>
            </w:pPr>
            <w:r>
              <w:rPr>
                <w:rFonts w:ascii="Arial" w:hAnsi="Arial" w:cs="Arial"/>
                <w:noProof/>
                <w:sz w:val="44"/>
                <w:szCs w:val="44"/>
                <w:lang w:eastAsia="en-GB"/>
              </w:rPr>
              <w:drawing>
                <wp:inline distT="0" distB="0" distL="0" distR="0" wp14:anchorId="188F268A" wp14:editId="46C62DF6">
                  <wp:extent cx="3810000" cy="1628775"/>
                  <wp:effectExtent l="0" t="0" r="0" b="9525"/>
                  <wp:docPr id="1" name="Picture 1" descr="F:\SanDiskSecureAccess\04022019\02032020\sas\practice issues\logos etc\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nDiskSecureAccess\04022019\02032020\sas\practice issues\logos etc\image00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inline>
              </w:drawing>
            </w:r>
          </w:p>
        </w:tc>
        <w:tc>
          <w:tcPr>
            <w:tcW w:w="2080" w:type="dxa"/>
            <w:gridSpan w:val="2"/>
            <w:noWrap/>
            <w:hideMark/>
          </w:tcPr>
          <w:p w:rsidR="00450938" w:rsidRPr="00EF34F1" w:rsidRDefault="00450938">
            <w:pPr>
              <w:rPr>
                <w:rFonts w:ascii="Arial" w:hAnsi="Arial" w:cs="Arial"/>
                <w:sz w:val="20"/>
                <w:szCs w:val="20"/>
              </w:rPr>
            </w:pPr>
          </w:p>
        </w:tc>
      </w:tr>
      <w:tr w:rsidR="00450938" w:rsidRPr="00EF34F1" w:rsidTr="00F2744E">
        <w:trPr>
          <w:trHeight w:val="330"/>
        </w:trPr>
        <w:tc>
          <w:tcPr>
            <w:tcW w:w="6376" w:type="dxa"/>
            <w:gridSpan w:val="2"/>
            <w:noWrap/>
          </w:tcPr>
          <w:p w:rsidR="004D35AB" w:rsidRDefault="004D35AB">
            <w:pPr>
              <w:rPr>
                <w:rFonts w:ascii="Arial" w:hAnsi="Arial" w:cs="Arial"/>
              </w:rPr>
            </w:pPr>
          </w:p>
          <w:p w:rsidR="004D35AB" w:rsidRPr="004D35AB" w:rsidRDefault="004D35AB" w:rsidP="004D35AB">
            <w:pPr>
              <w:ind w:right="-569"/>
              <w:rPr>
                <w:rFonts w:ascii="Arial" w:hAnsi="Arial" w:cs="Arial"/>
                <w:sz w:val="36"/>
                <w:szCs w:val="36"/>
              </w:rPr>
            </w:pPr>
            <w:r w:rsidRPr="004D35AB">
              <w:rPr>
                <w:rFonts w:ascii="Arial" w:hAnsi="Arial" w:cs="Arial"/>
                <w:sz w:val="36"/>
                <w:szCs w:val="36"/>
              </w:rPr>
              <w:t>Budget 2020: tax rates and allowances</w:t>
            </w:r>
          </w:p>
          <w:p w:rsidR="00450938" w:rsidRPr="00EF34F1" w:rsidRDefault="00450938">
            <w:pPr>
              <w:rPr>
                <w:rFonts w:ascii="Arial" w:hAnsi="Arial" w:cs="Arial"/>
                <w:sz w:val="20"/>
                <w:szCs w:val="20"/>
              </w:rPr>
            </w:pPr>
          </w:p>
        </w:tc>
        <w:tc>
          <w:tcPr>
            <w:tcW w:w="1842" w:type="dxa"/>
            <w:gridSpan w:val="2"/>
            <w:noWrap/>
          </w:tcPr>
          <w:p w:rsidR="00450938" w:rsidRPr="00EF34F1" w:rsidRDefault="00450938">
            <w:pPr>
              <w:rPr>
                <w:rFonts w:ascii="Arial" w:hAnsi="Arial" w:cs="Arial"/>
                <w:sz w:val="20"/>
                <w:szCs w:val="20"/>
              </w:rPr>
            </w:pPr>
          </w:p>
        </w:tc>
        <w:tc>
          <w:tcPr>
            <w:tcW w:w="1700" w:type="dxa"/>
            <w:noWrap/>
          </w:tcPr>
          <w:p w:rsidR="00450938" w:rsidRPr="00EF34F1" w:rsidRDefault="00450938">
            <w:pPr>
              <w:rPr>
                <w:rFonts w:ascii="Arial" w:hAnsi="Arial" w:cs="Arial"/>
                <w:sz w:val="20"/>
                <w:szCs w:val="20"/>
              </w:rPr>
            </w:pPr>
          </w:p>
        </w:tc>
        <w:tc>
          <w:tcPr>
            <w:tcW w:w="241" w:type="dxa"/>
            <w:noWrap/>
          </w:tcPr>
          <w:p w:rsidR="00450938" w:rsidRPr="00EF34F1" w:rsidRDefault="00450938" w:rsidP="00F46718">
            <w:pPr>
              <w:tabs>
                <w:tab w:val="left" w:pos="1139"/>
              </w:tabs>
              <w:rPr>
                <w:rFonts w:ascii="Arial" w:hAnsi="Arial" w:cs="Arial"/>
                <w:sz w:val="20"/>
                <w:szCs w:val="20"/>
              </w:rPr>
            </w:pPr>
            <w:r w:rsidRPr="00EF34F1">
              <w:rPr>
                <w:rFonts w:ascii="Arial" w:hAnsi="Arial" w:cs="Arial"/>
                <w:sz w:val="20"/>
                <w:szCs w:val="20"/>
              </w:rPr>
              <w:tab/>
            </w:r>
          </w:p>
        </w:tc>
      </w:tr>
      <w:tr w:rsidR="00450938" w:rsidRPr="00EF34F1" w:rsidTr="00F2744E">
        <w:trPr>
          <w:gridAfter w:val="1"/>
          <w:wAfter w:w="241" w:type="dxa"/>
          <w:trHeight w:val="330"/>
        </w:trPr>
        <w:tc>
          <w:tcPr>
            <w:tcW w:w="6376" w:type="dxa"/>
            <w:gridSpan w:val="2"/>
            <w:tcBorders>
              <w:bottom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                    </w:t>
            </w:r>
          </w:p>
        </w:tc>
        <w:tc>
          <w:tcPr>
            <w:tcW w:w="1842" w:type="dxa"/>
            <w:gridSpan w:val="2"/>
            <w:tcBorders>
              <w:bottom w:val="single" w:sz="4" w:space="0" w:color="auto"/>
            </w:tcBorders>
            <w:noWrap/>
            <w:hideMark/>
          </w:tcPr>
          <w:p w:rsidR="00450938" w:rsidRPr="00EF34F1" w:rsidRDefault="00450938">
            <w:pPr>
              <w:rPr>
                <w:rFonts w:ascii="Arial" w:hAnsi="Arial" w:cs="Arial"/>
                <w:sz w:val="20"/>
                <w:szCs w:val="20"/>
              </w:rPr>
            </w:pPr>
          </w:p>
        </w:tc>
        <w:tc>
          <w:tcPr>
            <w:tcW w:w="1700" w:type="dxa"/>
            <w:tcBorders>
              <w:bottom w:val="single" w:sz="4" w:space="0" w:color="auto"/>
            </w:tcBorders>
            <w:noWrap/>
            <w:hideMark/>
          </w:tcPr>
          <w:p w:rsidR="00450938" w:rsidRPr="00EF34F1" w:rsidRDefault="00450938">
            <w:pPr>
              <w:rPr>
                <w:rFonts w:ascii="Arial" w:hAnsi="Arial" w:cs="Arial"/>
                <w:sz w:val="20"/>
                <w:szCs w:val="20"/>
              </w:rPr>
            </w:pPr>
          </w:p>
        </w:tc>
      </w:tr>
      <w:tr w:rsidR="00450938" w:rsidRPr="00EF34F1" w:rsidTr="00F2744E">
        <w:trPr>
          <w:gridAfter w:val="1"/>
          <w:wAfter w:w="241" w:type="dxa"/>
          <w:trHeight w:val="330"/>
        </w:trPr>
        <w:tc>
          <w:tcPr>
            <w:tcW w:w="6376"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sz w:val="20"/>
                <w:szCs w:val="20"/>
              </w:rPr>
            </w:pPr>
            <w:r w:rsidRPr="00EF34F1">
              <w:rPr>
                <w:rFonts w:ascii="Arial" w:hAnsi="Arial" w:cs="Arial"/>
                <w:sz w:val="20"/>
                <w:szCs w:val="20"/>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4D35AB">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4D35AB">
            <w:pPr>
              <w:jc w:val="right"/>
              <w:rPr>
                <w:rFonts w:ascii="Arial" w:hAnsi="Arial" w:cs="Arial"/>
                <w:b/>
                <w:bCs/>
                <w:sz w:val="24"/>
                <w:szCs w:val="24"/>
              </w:rPr>
            </w:pPr>
            <w:r w:rsidRPr="00EF34F1">
              <w:rPr>
                <w:rFonts w:ascii="Arial" w:hAnsi="Arial" w:cs="Arial"/>
                <w:b/>
                <w:bCs/>
                <w:sz w:val="24"/>
                <w:szCs w:val="24"/>
              </w:rPr>
              <w:t>2020/21</w:t>
            </w:r>
          </w:p>
        </w:tc>
      </w:tr>
      <w:tr w:rsidR="00450938" w:rsidRPr="00EF34F1" w:rsidTr="00F2744E">
        <w:trPr>
          <w:gridAfter w:val="1"/>
          <w:wAfter w:w="241" w:type="dxa"/>
          <w:trHeight w:val="330"/>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w:t>
            </w:r>
          </w:p>
        </w:tc>
        <w:tc>
          <w:tcPr>
            <w:tcW w:w="1842"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b/>
                <w:bCs/>
              </w:rPr>
            </w:pPr>
            <w:r w:rsidRPr="00EF34F1">
              <w:rPr>
                <w:rFonts w:ascii="Arial" w:hAnsi="Arial" w:cs="Arial"/>
                <w:b/>
                <w:bCs/>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b/>
                <w:bCs/>
              </w:rPr>
            </w:pPr>
            <w:r w:rsidRPr="00EF34F1">
              <w:rPr>
                <w:rFonts w:ascii="Arial" w:hAnsi="Arial" w:cs="Arial"/>
                <w:b/>
                <w:bCs/>
              </w:rPr>
              <w:t>£</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DA4D1C">
            <w:pPr>
              <w:rPr>
                <w:rFonts w:ascii="Arial" w:hAnsi="Arial" w:cs="Arial"/>
                <w:b/>
                <w:bCs/>
                <w:sz w:val="20"/>
                <w:szCs w:val="20"/>
              </w:rPr>
            </w:pPr>
            <w:r w:rsidRPr="00EF34F1">
              <w:rPr>
                <w:rFonts w:ascii="Arial" w:hAnsi="Arial" w:cs="Arial"/>
                <w:b/>
                <w:bCs/>
                <w:sz w:val="20"/>
                <w:szCs w:val="20"/>
              </w:rPr>
              <w:t>Income tax rates</w:t>
            </w:r>
            <w:r w:rsidR="004D35AB">
              <w:rPr>
                <w:rFonts w:ascii="Arial" w:hAnsi="Arial" w:cs="Arial"/>
                <w:b/>
                <w:bCs/>
                <w:sz w:val="20"/>
                <w:szCs w:val="20"/>
              </w:rPr>
              <w:t>:</w:t>
            </w:r>
            <w:r w:rsidRPr="00EF34F1">
              <w:rPr>
                <w:rFonts w:ascii="Arial" w:hAnsi="Arial" w:cs="Arial"/>
                <w:b/>
                <w:bCs/>
                <w:sz w:val="20"/>
                <w:szCs w:val="20"/>
              </w:rPr>
              <w:t xml:space="preserve"> England and Wales only </w:t>
            </w:r>
            <w:r w:rsidR="004D35AB">
              <w:rPr>
                <w:rFonts w:ascii="Arial" w:hAnsi="Arial" w:cs="Arial"/>
                <w:b/>
                <w:bCs/>
                <w:sz w:val="20"/>
                <w:szCs w:val="20"/>
              </w:rPr>
              <w:br/>
            </w:r>
            <w:r w:rsidRPr="00EF34F1">
              <w:rPr>
                <w:rFonts w:ascii="Arial" w:hAnsi="Arial" w:cs="Arial"/>
                <w:b/>
                <w:bCs/>
                <w:sz w:val="20"/>
                <w:szCs w:val="20"/>
              </w:rPr>
              <w:t>(non-dividend income)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4D35AB">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4D35AB">
            <w:pPr>
              <w:jc w:val="right"/>
              <w:rPr>
                <w:rFonts w:ascii="Arial" w:hAnsi="Arial" w:cs="Arial"/>
                <w:b/>
                <w:bCs/>
                <w:sz w:val="20"/>
                <w:szCs w:val="20"/>
              </w:rPr>
            </w:pPr>
            <w:r w:rsidRPr="00EF34F1">
              <w:rPr>
                <w:rFonts w:ascii="Arial" w:hAnsi="Arial" w:cs="Arial"/>
                <w:b/>
                <w:bCs/>
                <w:sz w:val="20"/>
                <w:szCs w:val="20"/>
              </w:rPr>
              <w:t> </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015FEA">
            <w:pPr>
              <w:rPr>
                <w:rFonts w:ascii="Arial" w:hAnsi="Arial" w:cs="Arial"/>
                <w:sz w:val="20"/>
                <w:szCs w:val="20"/>
              </w:rPr>
            </w:pPr>
            <w:r w:rsidRPr="00EF34F1">
              <w:rPr>
                <w:rFonts w:ascii="Arial" w:hAnsi="Arial" w:cs="Arial"/>
                <w:sz w:val="20"/>
                <w:szCs w:val="20"/>
              </w:rPr>
              <w:t xml:space="preserve">0% starting rate for savings only </w:t>
            </w:r>
            <w:r w:rsidR="002D4B97">
              <w:rPr>
                <w:rFonts w:ascii="Arial" w:hAnsi="Arial" w:cs="Arial"/>
                <w:sz w:val="20"/>
                <w:szCs w:val="20"/>
              </w:rPr>
              <w:t>(</w:t>
            </w:r>
            <w:r w:rsidRPr="00EF34F1">
              <w:rPr>
                <w:rFonts w:ascii="Arial" w:hAnsi="Arial" w:cs="Arial"/>
                <w:sz w:val="20"/>
                <w:szCs w:val="20"/>
              </w:rPr>
              <w:t>note 1</w:t>
            </w:r>
            <w:r w:rsidR="002D4B97">
              <w:rPr>
                <w:rFonts w:ascii="Arial" w:hAnsi="Arial" w:cs="Arial"/>
                <w:sz w:val="20"/>
                <w:szCs w:val="20"/>
              </w:rPr>
              <w:t>)</w:t>
            </w:r>
          </w:p>
        </w:tc>
        <w:tc>
          <w:tcPr>
            <w:tcW w:w="1842"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Up to 5,000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Up to 5,000</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20% basic rate tax</w:t>
            </w:r>
          </w:p>
        </w:tc>
        <w:tc>
          <w:tcPr>
            <w:tcW w:w="1842"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12,501</w:t>
            </w:r>
            <w:r w:rsidR="00A1015A">
              <w:rPr>
                <w:rFonts w:ascii="Arial" w:hAnsi="Arial" w:cs="Arial"/>
                <w:sz w:val="20"/>
                <w:szCs w:val="20"/>
              </w:rPr>
              <w:t>-</w:t>
            </w:r>
            <w:r w:rsidRPr="00EF34F1">
              <w:rPr>
                <w:rFonts w:ascii="Arial" w:hAnsi="Arial" w:cs="Arial"/>
                <w:sz w:val="20"/>
                <w:szCs w:val="20"/>
              </w:rPr>
              <w:t>50,000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12,501</w:t>
            </w:r>
            <w:r w:rsidR="00A1015A">
              <w:rPr>
                <w:rFonts w:ascii="Arial" w:hAnsi="Arial" w:cs="Arial"/>
                <w:sz w:val="20"/>
                <w:szCs w:val="20"/>
              </w:rPr>
              <w:t>-</w:t>
            </w:r>
            <w:r w:rsidRPr="00EF34F1">
              <w:rPr>
                <w:rFonts w:ascii="Arial" w:hAnsi="Arial" w:cs="Arial"/>
                <w:sz w:val="20"/>
                <w:szCs w:val="20"/>
              </w:rPr>
              <w:t>50,000</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40% higher rate tax</w:t>
            </w:r>
          </w:p>
        </w:tc>
        <w:tc>
          <w:tcPr>
            <w:tcW w:w="1842"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50,001</w:t>
            </w:r>
            <w:r w:rsidR="00A1015A">
              <w:rPr>
                <w:rFonts w:ascii="Arial" w:hAnsi="Arial" w:cs="Arial"/>
                <w:sz w:val="20"/>
                <w:szCs w:val="20"/>
              </w:rPr>
              <w:t>-</w:t>
            </w:r>
            <w:r w:rsidRPr="00EF34F1">
              <w:rPr>
                <w:rFonts w:ascii="Arial" w:hAnsi="Arial" w:cs="Arial"/>
                <w:sz w:val="20"/>
                <w:szCs w:val="20"/>
              </w:rPr>
              <w:t>150,000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50,001</w:t>
            </w:r>
            <w:r w:rsidR="00A1015A">
              <w:rPr>
                <w:rFonts w:ascii="Arial" w:hAnsi="Arial" w:cs="Arial"/>
                <w:sz w:val="20"/>
                <w:szCs w:val="20"/>
              </w:rPr>
              <w:t>-</w:t>
            </w:r>
            <w:r w:rsidRPr="00EF34F1">
              <w:rPr>
                <w:rFonts w:ascii="Arial" w:hAnsi="Arial" w:cs="Arial"/>
                <w:sz w:val="20"/>
                <w:szCs w:val="20"/>
              </w:rPr>
              <w:t>150,000</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45% additional rate tax</w:t>
            </w:r>
          </w:p>
        </w:tc>
        <w:tc>
          <w:tcPr>
            <w:tcW w:w="1842"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Above 150,000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4D35AB">
            <w:pPr>
              <w:jc w:val="right"/>
              <w:rPr>
                <w:rFonts w:ascii="Arial" w:hAnsi="Arial" w:cs="Arial"/>
                <w:sz w:val="20"/>
                <w:szCs w:val="20"/>
              </w:rPr>
            </w:pPr>
            <w:r w:rsidRPr="00EF34F1">
              <w:rPr>
                <w:rFonts w:ascii="Arial" w:hAnsi="Arial" w:cs="Arial"/>
                <w:sz w:val="20"/>
                <w:szCs w:val="20"/>
              </w:rPr>
              <w:t>Above 150,000</w:t>
            </w:r>
          </w:p>
        </w:tc>
      </w:tr>
      <w:tr w:rsidR="00450938" w:rsidRPr="00EF34F1" w:rsidTr="004D35AB">
        <w:trPr>
          <w:gridAfter w:val="1"/>
          <w:wAfter w:w="241" w:type="dxa"/>
          <w:trHeight w:val="315"/>
        </w:trPr>
        <w:tc>
          <w:tcPr>
            <w:tcW w:w="9918" w:type="dxa"/>
            <w:gridSpan w:val="5"/>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 xml:space="preserve">Scottish rates of income tax (non-dividend income)                                                    </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F56566">
            <w:pPr>
              <w:rPr>
                <w:rFonts w:ascii="Arial" w:hAnsi="Arial" w:cs="Arial"/>
                <w:sz w:val="20"/>
                <w:szCs w:val="20"/>
              </w:rPr>
            </w:pPr>
            <w:r w:rsidRPr="00EF34F1">
              <w:rPr>
                <w:rFonts w:ascii="Arial" w:hAnsi="Arial" w:cs="Arial"/>
                <w:sz w:val="20"/>
                <w:szCs w:val="20"/>
              </w:rPr>
              <w:t xml:space="preserve">19% starting rate </w:t>
            </w:r>
          </w:p>
        </w:tc>
        <w:tc>
          <w:tcPr>
            <w:tcW w:w="1842" w:type="dxa"/>
            <w:gridSpan w:val="2"/>
            <w:tcBorders>
              <w:top w:val="single" w:sz="4" w:space="0" w:color="auto"/>
              <w:left w:val="single" w:sz="4" w:space="0" w:color="auto"/>
              <w:bottom w:val="single" w:sz="4" w:space="0" w:color="auto"/>
              <w:right w:val="single" w:sz="4" w:space="0" w:color="auto"/>
            </w:tcBorders>
          </w:tcPr>
          <w:p w:rsidR="00450938" w:rsidRPr="00EF34F1" w:rsidRDefault="00450938" w:rsidP="00A1015A">
            <w:pPr>
              <w:jc w:val="right"/>
              <w:rPr>
                <w:rFonts w:ascii="Arial" w:hAnsi="Arial" w:cs="Arial"/>
                <w:sz w:val="20"/>
                <w:szCs w:val="20"/>
              </w:rPr>
            </w:pPr>
            <w:r w:rsidRPr="00EF34F1">
              <w:rPr>
                <w:rFonts w:ascii="Arial" w:hAnsi="Arial" w:cs="Arial"/>
                <w:sz w:val="20"/>
                <w:szCs w:val="20"/>
              </w:rPr>
              <w:t>12,501-14,549</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A1015A">
            <w:pPr>
              <w:jc w:val="right"/>
              <w:rPr>
                <w:rFonts w:ascii="Arial" w:hAnsi="Arial" w:cs="Arial"/>
                <w:sz w:val="20"/>
                <w:szCs w:val="20"/>
              </w:rPr>
            </w:pPr>
            <w:r w:rsidRPr="00EF34F1">
              <w:rPr>
                <w:rFonts w:ascii="Arial" w:hAnsi="Arial" w:cs="Arial"/>
                <w:sz w:val="20"/>
                <w:szCs w:val="20"/>
              </w:rPr>
              <w:t>12,501-14,585</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20% basic rate tax</w:t>
            </w:r>
          </w:p>
        </w:tc>
        <w:tc>
          <w:tcPr>
            <w:tcW w:w="1842" w:type="dxa"/>
            <w:gridSpan w:val="2"/>
            <w:tcBorders>
              <w:top w:val="single" w:sz="4" w:space="0" w:color="auto"/>
              <w:left w:val="single" w:sz="4" w:space="0" w:color="auto"/>
              <w:bottom w:val="single" w:sz="4" w:space="0" w:color="auto"/>
              <w:right w:val="single" w:sz="4" w:space="0" w:color="auto"/>
            </w:tcBorders>
          </w:tcPr>
          <w:p w:rsidR="00450938" w:rsidRPr="00EF34F1" w:rsidRDefault="00450938" w:rsidP="00A1015A">
            <w:pPr>
              <w:jc w:val="right"/>
              <w:rPr>
                <w:rFonts w:ascii="Arial" w:hAnsi="Arial" w:cs="Arial"/>
                <w:sz w:val="20"/>
                <w:szCs w:val="20"/>
              </w:rPr>
            </w:pPr>
            <w:r w:rsidRPr="00EF34F1">
              <w:rPr>
                <w:rFonts w:ascii="Arial" w:hAnsi="Arial" w:cs="Arial"/>
                <w:sz w:val="20"/>
                <w:szCs w:val="20"/>
              </w:rPr>
              <w:t>14,550-24,944</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A1015A">
            <w:pPr>
              <w:jc w:val="right"/>
              <w:rPr>
                <w:rFonts w:ascii="Arial" w:hAnsi="Arial" w:cs="Arial"/>
                <w:sz w:val="20"/>
                <w:szCs w:val="20"/>
              </w:rPr>
            </w:pPr>
            <w:r w:rsidRPr="00EF34F1">
              <w:rPr>
                <w:rFonts w:ascii="Arial" w:hAnsi="Arial" w:cs="Arial"/>
                <w:sz w:val="20"/>
                <w:szCs w:val="20"/>
              </w:rPr>
              <w:t>14,586-25,158</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F56566">
            <w:pPr>
              <w:rPr>
                <w:rFonts w:ascii="Arial" w:hAnsi="Arial" w:cs="Arial"/>
                <w:sz w:val="20"/>
                <w:szCs w:val="20"/>
              </w:rPr>
            </w:pPr>
            <w:r w:rsidRPr="00EF34F1">
              <w:rPr>
                <w:rFonts w:ascii="Arial" w:hAnsi="Arial" w:cs="Arial"/>
                <w:sz w:val="20"/>
                <w:szCs w:val="20"/>
              </w:rPr>
              <w:t>21% intermediate rate tax</w:t>
            </w:r>
          </w:p>
        </w:tc>
        <w:tc>
          <w:tcPr>
            <w:tcW w:w="1842" w:type="dxa"/>
            <w:gridSpan w:val="2"/>
            <w:tcBorders>
              <w:top w:val="single" w:sz="4" w:space="0" w:color="auto"/>
              <w:left w:val="single" w:sz="4" w:space="0" w:color="auto"/>
              <w:bottom w:val="single" w:sz="4" w:space="0" w:color="auto"/>
              <w:right w:val="single" w:sz="4" w:space="0" w:color="auto"/>
            </w:tcBorders>
          </w:tcPr>
          <w:p w:rsidR="00450938" w:rsidRPr="00EF34F1" w:rsidRDefault="00450938" w:rsidP="00A1015A">
            <w:pPr>
              <w:jc w:val="right"/>
              <w:rPr>
                <w:rFonts w:ascii="Arial" w:hAnsi="Arial" w:cs="Arial"/>
                <w:sz w:val="20"/>
                <w:szCs w:val="20"/>
              </w:rPr>
            </w:pPr>
            <w:r w:rsidRPr="00EF34F1">
              <w:rPr>
                <w:rFonts w:ascii="Arial" w:hAnsi="Arial" w:cs="Arial"/>
                <w:sz w:val="20"/>
                <w:szCs w:val="20"/>
              </w:rPr>
              <w:t>24,945</w:t>
            </w:r>
            <w:r w:rsidR="000C6D68">
              <w:rPr>
                <w:rFonts w:ascii="Arial" w:hAnsi="Arial" w:cs="Arial"/>
                <w:sz w:val="20"/>
                <w:szCs w:val="20"/>
              </w:rPr>
              <w:t>-</w:t>
            </w:r>
            <w:r w:rsidRPr="00EF34F1">
              <w:rPr>
                <w:rFonts w:ascii="Arial" w:hAnsi="Arial" w:cs="Arial"/>
                <w:sz w:val="20"/>
                <w:szCs w:val="20"/>
              </w:rPr>
              <w:t>43,430</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A1015A">
            <w:pPr>
              <w:jc w:val="right"/>
              <w:rPr>
                <w:rFonts w:ascii="Arial" w:hAnsi="Arial" w:cs="Arial"/>
                <w:sz w:val="20"/>
                <w:szCs w:val="20"/>
              </w:rPr>
            </w:pPr>
            <w:r w:rsidRPr="00EF34F1">
              <w:rPr>
                <w:rFonts w:ascii="Arial" w:hAnsi="Arial" w:cs="Arial"/>
                <w:sz w:val="20"/>
                <w:szCs w:val="20"/>
              </w:rPr>
              <w:t>25,159-43,430</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F56566">
            <w:pPr>
              <w:rPr>
                <w:rFonts w:ascii="Arial" w:hAnsi="Arial" w:cs="Arial"/>
                <w:sz w:val="20"/>
                <w:szCs w:val="20"/>
              </w:rPr>
            </w:pPr>
            <w:r w:rsidRPr="00EF34F1">
              <w:rPr>
                <w:rFonts w:ascii="Arial" w:hAnsi="Arial" w:cs="Arial"/>
                <w:sz w:val="20"/>
                <w:szCs w:val="20"/>
              </w:rPr>
              <w:t>41% higher rate tax</w:t>
            </w:r>
          </w:p>
        </w:tc>
        <w:tc>
          <w:tcPr>
            <w:tcW w:w="1842" w:type="dxa"/>
            <w:gridSpan w:val="2"/>
            <w:tcBorders>
              <w:top w:val="single" w:sz="4" w:space="0" w:color="auto"/>
              <w:left w:val="single" w:sz="4" w:space="0" w:color="auto"/>
              <w:bottom w:val="single" w:sz="4" w:space="0" w:color="auto"/>
              <w:right w:val="single" w:sz="4" w:space="0" w:color="auto"/>
            </w:tcBorders>
          </w:tcPr>
          <w:p w:rsidR="00450938" w:rsidRPr="00EF34F1" w:rsidRDefault="00450938" w:rsidP="00A1015A">
            <w:pPr>
              <w:jc w:val="right"/>
              <w:rPr>
                <w:rFonts w:ascii="Arial" w:hAnsi="Arial" w:cs="Arial"/>
                <w:sz w:val="20"/>
                <w:szCs w:val="20"/>
              </w:rPr>
            </w:pPr>
            <w:r w:rsidRPr="00EF34F1">
              <w:rPr>
                <w:rFonts w:ascii="Arial" w:hAnsi="Arial" w:cs="Arial"/>
                <w:sz w:val="20"/>
                <w:szCs w:val="20"/>
              </w:rPr>
              <w:t>43,431</w:t>
            </w:r>
            <w:r w:rsidR="000C6D68">
              <w:rPr>
                <w:rFonts w:ascii="Arial" w:hAnsi="Arial" w:cs="Arial"/>
                <w:sz w:val="20"/>
                <w:szCs w:val="20"/>
              </w:rPr>
              <w:t>-</w:t>
            </w:r>
            <w:r w:rsidRPr="00EF34F1">
              <w:rPr>
                <w:rFonts w:ascii="Arial" w:hAnsi="Arial" w:cs="Arial"/>
                <w:sz w:val="20"/>
                <w:szCs w:val="20"/>
              </w:rPr>
              <w:t>150,000</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A1015A">
            <w:pPr>
              <w:jc w:val="right"/>
              <w:rPr>
                <w:rFonts w:ascii="Arial" w:hAnsi="Arial" w:cs="Arial"/>
                <w:sz w:val="20"/>
                <w:szCs w:val="20"/>
              </w:rPr>
            </w:pPr>
            <w:r w:rsidRPr="00EF34F1">
              <w:rPr>
                <w:rFonts w:ascii="Arial" w:hAnsi="Arial" w:cs="Arial"/>
                <w:sz w:val="20"/>
                <w:szCs w:val="20"/>
              </w:rPr>
              <w:t>43,431</w:t>
            </w:r>
            <w:r w:rsidR="000C6D68">
              <w:rPr>
                <w:rFonts w:ascii="Arial" w:hAnsi="Arial" w:cs="Arial"/>
                <w:sz w:val="20"/>
                <w:szCs w:val="20"/>
              </w:rPr>
              <w:t>-</w:t>
            </w:r>
            <w:r w:rsidRPr="00EF34F1">
              <w:rPr>
                <w:rFonts w:ascii="Arial" w:hAnsi="Arial" w:cs="Arial"/>
                <w:sz w:val="20"/>
                <w:szCs w:val="20"/>
              </w:rPr>
              <w:t>150,000</w:t>
            </w:r>
          </w:p>
        </w:tc>
      </w:tr>
      <w:tr w:rsidR="00450938" w:rsidRPr="00EF34F1" w:rsidTr="00F2744E">
        <w:trPr>
          <w:gridAfter w:val="1"/>
          <w:wAfter w:w="241" w:type="dxa"/>
          <w:trHeight w:val="315"/>
        </w:trPr>
        <w:tc>
          <w:tcPr>
            <w:tcW w:w="6376" w:type="dxa"/>
            <w:gridSpan w:val="2"/>
            <w:tcBorders>
              <w:top w:val="single" w:sz="4" w:space="0" w:color="auto"/>
              <w:left w:val="single" w:sz="4" w:space="0" w:color="auto"/>
              <w:bottom w:val="single" w:sz="4" w:space="0" w:color="auto"/>
              <w:right w:val="single" w:sz="4" w:space="0" w:color="auto"/>
            </w:tcBorders>
            <w:noWrap/>
          </w:tcPr>
          <w:p w:rsidR="00450938" w:rsidRPr="00EF34F1" w:rsidRDefault="00450938" w:rsidP="00F56566">
            <w:pPr>
              <w:rPr>
                <w:rFonts w:ascii="Arial" w:hAnsi="Arial" w:cs="Arial"/>
                <w:sz w:val="20"/>
                <w:szCs w:val="20"/>
              </w:rPr>
            </w:pPr>
            <w:r w:rsidRPr="00EF34F1">
              <w:rPr>
                <w:rFonts w:ascii="Arial" w:hAnsi="Arial" w:cs="Arial"/>
                <w:sz w:val="20"/>
                <w:szCs w:val="20"/>
              </w:rPr>
              <w:t>46% top rate</w:t>
            </w:r>
          </w:p>
        </w:tc>
        <w:tc>
          <w:tcPr>
            <w:tcW w:w="1842" w:type="dxa"/>
            <w:gridSpan w:val="2"/>
            <w:tcBorders>
              <w:top w:val="single" w:sz="4" w:space="0" w:color="auto"/>
              <w:left w:val="single" w:sz="4" w:space="0" w:color="auto"/>
              <w:bottom w:val="single" w:sz="4" w:space="0" w:color="auto"/>
              <w:right w:val="single" w:sz="4" w:space="0" w:color="auto"/>
            </w:tcBorders>
          </w:tcPr>
          <w:p w:rsidR="00450938" w:rsidRPr="00EF34F1" w:rsidRDefault="00450938" w:rsidP="00A1015A">
            <w:pPr>
              <w:jc w:val="right"/>
              <w:rPr>
                <w:rFonts w:ascii="Arial" w:hAnsi="Arial" w:cs="Arial"/>
                <w:sz w:val="20"/>
                <w:szCs w:val="20"/>
              </w:rPr>
            </w:pPr>
            <w:r w:rsidRPr="00EF34F1">
              <w:rPr>
                <w:rFonts w:ascii="Arial" w:hAnsi="Arial" w:cs="Arial"/>
                <w:sz w:val="20"/>
                <w:szCs w:val="20"/>
              </w:rPr>
              <w:t>Above</w:t>
            </w:r>
            <w:r w:rsidR="000C6D68">
              <w:rPr>
                <w:rFonts w:ascii="Arial" w:hAnsi="Arial" w:cs="Arial"/>
                <w:sz w:val="20"/>
                <w:szCs w:val="20"/>
              </w:rPr>
              <w:t xml:space="preserve"> </w:t>
            </w:r>
            <w:r w:rsidRPr="00EF34F1">
              <w:rPr>
                <w:rFonts w:ascii="Arial" w:hAnsi="Arial" w:cs="Arial"/>
                <w:sz w:val="20"/>
                <w:szCs w:val="20"/>
              </w:rPr>
              <w:t>150,000</w:t>
            </w:r>
          </w:p>
        </w:tc>
        <w:tc>
          <w:tcPr>
            <w:tcW w:w="1700" w:type="dxa"/>
            <w:tcBorders>
              <w:top w:val="single" w:sz="4" w:space="0" w:color="auto"/>
              <w:left w:val="single" w:sz="4" w:space="0" w:color="auto"/>
              <w:bottom w:val="single" w:sz="4" w:space="0" w:color="auto"/>
              <w:right w:val="single" w:sz="4" w:space="0" w:color="auto"/>
            </w:tcBorders>
          </w:tcPr>
          <w:p w:rsidR="00450938" w:rsidRPr="00EF34F1" w:rsidRDefault="00450938" w:rsidP="00A1015A">
            <w:pPr>
              <w:jc w:val="right"/>
              <w:rPr>
                <w:rFonts w:ascii="Arial" w:hAnsi="Arial" w:cs="Arial"/>
                <w:sz w:val="20"/>
                <w:szCs w:val="20"/>
              </w:rPr>
            </w:pPr>
            <w:r w:rsidRPr="00EF34F1">
              <w:rPr>
                <w:rFonts w:ascii="Arial" w:hAnsi="Arial" w:cs="Arial"/>
                <w:sz w:val="20"/>
                <w:szCs w:val="20"/>
              </w:rPr>
              <w:t>Above</w:t>
            </w:r>
            <w:r w:rsidR="000C6D68">
              <w:rPr>
                <w:rFonts w:ascii="Arial" w:hAnsi="Arial" w:cs="Arial"/>
                <w:sz w:val="20"/>
                <w:szCs w:val="20"/>
              </w:rPr>
              <w:t xml:space="preserve"> </w:t>
            </w:r>
            <w:r w:rsidRPr="00EF34F1">
              <w:rPr>
                <w:rFonts w:ascii="Arial" w:hAnsi="Arial" w:cs="Arial"/>
                <w:sz w:val="20"/>
                <w:szCs w:val="20"/>
              </w:rPr>
              <w:t>150,000</w:t>
            </w:r>
          </w:p>
        </w:tc>
      </w:tr>
      <w:tr w:rsidR="000775D6" w:rsidRPr="00EF34F1" w:rsidTr="004D35AB">
        <w:trPr>
          <w:gridAfter w:val="1"/>
          <w:wAfter w:w="241" w:type="dxa"/>
          <w:trHeight w:val="315"/>
        </w:trPr>
        <w:tc>
          <w:tcPr>
            <w:tcW w:w="9918" w:type="dxa"/>
            <w:gridSpan w:val="5"/>
            <w:tcBorders>
              <w:top w:val="single" w:sz="4" w:space="0" w:color="auto"/>
              <w:left w:val="single" w:sz="4" w:space="0" w:color="auto"/>
              <w:bottom w:val="single" w:sz="4" w:space="0" w:color="auto"/>
              <w:right w:val="single" w:sz="4" w:space="0" w:color="auto"/>
            </w:tcBorders>
            <w:noWrap/>
          </w:tcPr>
          <w:p w:rsidR="000775D6" w:rsidRPr="00EF34F1" w:rsidRDefault="000775D6" w:rsidP="00EF34F1">
            <w:pPr>
              <w:rPr>
                <w:rFonts w:ascii="Arial" w:hAnsi="Arial" w:cs="Arial"/>
                <w:bCs/>
                <w:i/>
                <w:sz w:val="20"/>
                <w:szCs w:val="20"/>
              </w:rPr>
            </w:pPr>
            <w:r w:rsidRPr="00EF34F1">
              <w:rPr>
                <w:rFonts w:ascii="Arial" w:hAnsi="Arial" w:cs="Arial"/>
                <w:bCs/>
                <w:i/>
                <w:sz w:val="20"/>
                <w:szCs w:val="20"/>
              </w:rPr>
              <w:t>Note 1: Scottish taxpayers pay the same tax as the rest of the UK on dividends and saving</w:t>
            </w:r>
            <w:r w:rsidR="00CB3AD0">
              <w:rPr>
                <w:rFonts w:ascii="Arial" w:hAnsi="Arial" w:cs="Arial"/>
                <w:bCs/>
                <w:i/>
                <w:sz w:val="20"/>
                <w:szCs w:val="20"/>
              </w:rPr>
              <w:t>s</w:t>
            </w:r>
            <w:r w:rsidRPr="00EF34F1">
              <w:rPr>
                <w:rFonts w:ascii="Arial" w:hAnsi="Arial" w:cs="Arial"/>
                <w:bCs/>
                <w:i/>
                <w:sz w:val="20"/>
                <w:szCs w:val="20"/>
              </w:rPr>
              <w:t xml:space="preserve"> interest. </w:t>
            </w:r>
          </w:p>
        </w:tc>
      </w:tr>
    </w:tbl>
    <w:p w:rsidR="00F2744E" w:rsidRDefault="00F2744E">
      <w:r>
        <w:br w:type="page"/>
      </w:r>
    </w:p>
    <w:tbl>
      <w:tblPr>
        <w:tblW w:w="9918" w:type="dxa"/>
        <w:tblLayout w:type="fixed"/>
        <w:tblLook w:val="04A0" w:firstRow="1" w:lastRow="0" w:firstColumn="1" w:lastColumn="0" w:noHBand="0" w:noVBand="1"/>
      </w:tblPr>
      <w:tblGrid>
        <w:gridCol w:w="6376"/>
        <w:gridCol w:w="1842"/>
        <w:gridCol w:w="1700"/>
      </w:tblGrid>
      <w:tr w:rsidR="00F2744E"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F2744E" w:rsidRPr="00EF34F1" w:rsidRDefault="00F2744E" w:rsidP="00361A8F">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F2744E" w:rsidRPr="00EF34F1" w:rsidRDefault="00F2744E" w:rsidP="00361A8F">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F2744E" w:rsidRPr="00EF34F1" w:rsidRDefault="00F2744E" w:rsidP="00361A8F">
            <w:pPr>
              <w:jc w:val="right"/>
              <w:rPr>
                <w:rFonts w:ascii="Arial" w:hAnsi="Arial" w:cs="Arial"/>
                <w:b/>
                <w:bCs/>
                <w:sz w:val="24"/>
                <w:szCs w:val="24"/>
              </w:rPr>
            </w:pPr>
            <w:r w:rsidRPr="00EF34F1">
              <w:rPr>
                <w:rFonts w:ascii="Arial" w:hAnsi="Arial" w:cs="Arial"/>
                <w:b/>
                <w:bCs/>
                <w:sz w:val="24"/>
                <w:szCs w:val="24"/>
              </w:rPr>
              <w:t>2020/21</w:t>
            </w:r>
          </w:p>
        </w:tc>
      </w:tr>
      <w:tr w:rsidR="00450938" w:rsidRPr="00EF34F1" w:rsidTr="004637DA">
        <w:trPr>
          <w:trHeight w:val="315"/>
        </w:trPr>
        <w:tc>
          <w:tcPr>
            <w:tcW w:w="8218" w:type="dxa"/>
            <w:gridSpan w:val="2"/>
            <w:tcBorders>
              <w:top w:val="single" w:sz="4" w:space="0" w:color="auto"/>
              <w:left w:val="single" w:sz="4" w:space="0" w:color="auto"/>
              <w:bottom w:val="single" w:sz="4" w:space="0" w:color="auto"/>
              <w:right w:val="single" w:sz="4" w:space="0" w:color="auto"/>
            </w:tcBorders>
            <w:noWrap/>
            <w:hideMark/>
          </w:tcPr>
          <w:p w:rsidR="00450938" w:rsidRPr="00EF34F1" w:rsidRDefault="00450938" w:rsidP="00D77B00">
            <w:pPr>
              <w:rPr>
                <w:rFonts w:ascii="Arial" w:hAnsi="Arial" w:cs="Arial"/>
                <w:b/>
                <w:bCs/>
                <w:sz w:val="20"/>
                <w:szCs w:val="20"/>
              </w:rPr>
            </w:pPr>
            <w:r w:rsidRPr="00EF34F1">
              <w:rPr>
                <w:rFonts w:ascii="Arial" w:hAnsi="Arial" w:cs="Arial"/>
                <w:b/>
                <w:bCs/>
                <w:sz w:val="20"/>
                <w:szCs w:val="20"/>
              </w:rPr>
              <w:t>Income tax rates (dividend income)</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 </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Dividend allowance</w:t>
            </w:r>
          </w:p>
        </w:tc>
        <w:tc>
          <w:tcPr>
            <w:tcW w:w="1842"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£2,000</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£2,000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76D26">
            <w:pPr>
              <w:rPr>
                <w:rFonts w:ascii="Arial" w:hAnsi="Arial" w:cs="Arial"/>
                <w:sz w:val="20"/>
                <w:szCs w:val="20"/>
              </w:rPr>
            </w:pPr>
            <w:r w:rsidRPr="00EF34F1">
              <w:rPr>
                <w:rFonts w:ascii="Arial" w:hAnsi="Arial" w:cs="Arial"/>
                <w:sz w:val="20"/>
                <w:szCs w:val="20"/>
              </w:rPr>
              <w:t>Dividend ordinary rate (for dividends within basic rate band)</w:t>
            </w:r>
          </w:p>
        </w:tc>
        <w:tc>
          <w:tcPr>
            <w:tcW w:w="1842"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7.50%</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7.50%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76D26">
            <w:pPr>
              <w:rPr>
                <w:rFonts w:ascii="Arial" w:hAnsi="Arial" w:cs="Arial"/>
                <w:sz w:val="20"/>
                <w:szCs w:val="20"/>
              </w:rPr>
            </w:pPr>
            <w:r w:rsidRPr="00EF34F1">
              <w:rPr>
                <w:rFonts w:ascii="Arial" w:hAnsi="Arial" w:cs="Arial"/>
                <w:sz w:val="20"/>
                <w:szCs w:val="20"/>
              </w:rPr>
              <w:t>Dividend upper rate (for dividends within higher rate band)</w:t>
            </w:r>
          </w:p>
        </w:tc>
        <w:tc>
          <w:tcPr>
            <w:tcW w:w="1842"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32.50%</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32.50%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76D26">
            <w:pPr>
              <w:rPr>
                <w:rFonts w:ascii="Arial" w:hAnsi="Arial" w:cs="Arial"/>
                <w:sz w:val="20"/>
                <w:szCs w:val="20"/>
              </w:rPr>
            </w:pPr>
            <w:r w:rsidRPr="00EF34F1">
              <w:rPr>
                <w:rFonts w:ascii="Arial" w:hAnsi="Arial" w:cs="Arial"/>
                <w:sz w:val="20"/>
                <w:szCs w:val="20"/>
              </w:rPr>
              <w:t>Dividend additional rate (for dividends above higher rate band)</w:t>
            </w:r>
          </w:p>
        </w:tc>
        <w:tc>
          <w:tcPr>
            <w:tcW w:w="1842"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38.10%</w:t>
            </w:r>
          </w:p>
        </w:tc>
        <w:tc>
          <w:tcPr>
            <w:tcW w:w="1700" w:type="dxa"/>
            <w:tcBorders>
              <w:top w:val="single" w:sz="4" w:space="0" w:color="auto"/>
              <w:left w:val="single" w:sz="4" w:space="0" w:color="auto"/>
              <w:bottom w:val="single" w:sz="4" w:space="0" w:color="auto"/>
              <w:right w:val="single" w:sz="4" w:space="0" w:color="auto"/>
            </w:tcBorders>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38.10%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Child benefit/</w:t>
            </w:r>
            <w:r w:rsidR="008A7E2E">
              <w:rPr>
                <w:rFonts w:ascii="Arial" w:hAnsi="Arial" w:cs="Arial"/>
                <w:b/>
                <w:bCs/>
                <w:sz w:val="20"/>
                <w:szCs w:val="20"/>
              </w:rPr>
              <w:t>g</w:t>
            </w:r>
            <w:r w:rsidRPr="00EF34F1">
              <w:rPr>
                <w:rFonts w:ascii="Arial" w:hAnsi="Arial" w:cs="Arial"/>
                <w:b/>
                <w:bCs/>
                <w:sz w:val="20"/>
                <w:szCs w:val="20"/>
              </w:rPr>
              <w:t>uardian's allowance rates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F2744E">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F2744E">
            <w:pPr>
              <w:jc w:val="right"/>
              <w:rPr>
                <w:rFonts w:ascii="Arial" w:hAnsi="Arial" w:cs="Arial"/>
                <w:b/>
                <w:bCs/>
                <w:sz w:val="20"/>
                <w:szCs w:val="20"/>
              </w:rPr>
            </w:pPr>
            <w:r w:rsidRPr="00EF34F1">
              <w:rPr>
                <w:rFonts w:ascii="Arial" w:hAnsi="Arial" w:cs="Arial"/>
                <w:b/>
                <w:bCs/>
                <w:sz w:val="20"/>
                <w:szCs w:val="20"/>
              </w:rPr>
              <w:t> </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Higher rate (eldest or only child)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20.7</w:t>
            </w:r>
            <w:r w:rsidR="004F5DCC">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 21.05</w:t>
            </w:r>
            <w:r w:rsidR="004F5DCC">
              <w:rPr>
                <w:rFonts w:ascii="Arial" w:hAnsi="Arial" w:cs="Arial"/>
                <w:sz w:val="20"/>
                <w:szCs w:val="20"/>
              </w:rPr>
              <w:t>%</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Other children</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13.7</w:t>
            </w:r>
            <w:r w:rsidR="004F5DCC">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 13.95</w:t>
            </w:r>
            <w:r w:rsidR="004F5DCC">
              <w:rPr>
                <w:rFonts w:ascii="Arial" w:hAnsi="Arial" w:cs="Arial"/>
                <w:sz w:val="20"/>
                <w:szCs w:val="20"/>
              </w:rPr>
              <w:t>%</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Guardian</w:t>
            </w:r>
            <w:r w:rsidR="004F5DCC">
              <w:rPr>
                <w:rFonts w:ascii="Arial" w:hAnsi="Arial" w:cs="Arial"/>
                <w:sz w:val="20"/>
                <w:szCs w:val="20"/>
              </w:rPr>
              <w:t>’</w:t>
            </w:r>
            <w:r w:rsidRPr="00EF34F1">
              <w:rPr>
                <w:rFonts w:ascii="Arial" w:hAnsi="Arial" w:cs="Arial"/>
                <w:sz w:val="20"/>
                <w:szCs w:val="20"/>
              </w:rPr>
              <w:t>s allowance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17.6</w:t>
            </w:r>
            <w:r w:rsidR="004F5DCC">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F2744E">
            <w:pPr>
              <w:jc w:val="right"/>
              <w:rPr>
                <w:rFonts w:ascii="Arial" w:hAnsi="Arial" w:cs="Arial"/>
                <w:sz w:val="20"/>
                <w:szCs w:val="20"/>
              </w:rPr>
            </w:pPr>
            <w:r w:rsidRPr="00EF34F1">
              <w:rPr>
                <w:rFonts w:ascii="Arial" w:hAnsi="Arial" w:cs="Arial"/>
                <w:sz w:val="20"/>
                <w:szCs w:val="20"/>
              </w:rPr>
              <w:t> 17.90</w:t>
            </w:r>
            <w:r w:rsidR="004F5DCC">
              <w:rPr>
                <w:rFonts w:ascii="Arial" w:hAnsi="Arial" w:cs="Arial"/>
                <w:sz w:val="20"/>
                <w:szCs w:val="20"/>
              </w:rPr>
              <w:t>%</w:t>
            </w:r>
          </w:p>
        </w:tc>
      </w:tr>
      <w:tr w:rsidR="00EF34F1"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EF34F1" w:rsidRPr="00EF34F1" w:rsidRDefault="00EF34F1" w:rsidP="00EF34F1">
            <w:pPr>
              <w:pStyle w:val="ListParagraph"/>
              <w:numPr>
                <w:ilvl w:val="0"/>
                <w:numId w:val="9"/>
              </w:numPr>
              <w:rPr>
                <w:rFonts w:ascii="Arial" w:hAnsi="Arial" w:cs="Arial"/>
                <w:bCs/>
                <w:i/>
                <w:iCs/>
                <w:sz w:val="20"/>
                <w:szCs w:val="20"/>
              </w:rPr>
            </w:pPr>
            <w:r w:rsidRPr="00EF34F1">
              <w:rPr>
                <w:rFonts w:ascii="Arial" w:hAnsi="Arial" w:cs="Arial"/>
                <w:bCs/>
                <w:i/>
                <w:iCs/>
                <w:sz w:val="20"/>
                <w:szCs w:val="20"/>
              </w:rPr>
              <w:t>An income tax charge will apply to taxpayers with ‘adjusted net income’ exceeding £50,000 in a tax year, when child benefit is also received by them or their partner. The charge will reduce the financial benefit of receiving child benefit for those with income between £50,000 and £60,000 and remove it completely for taxpayers with income above £60,000.</w:t>
            </w:r>
          </w:p>
          <w:p w:rsidR="00EF34F1" w:rsidRPr="00EF34F1" w:rsidRDefault="00EF34F1" w:rsidP="00EF34F1">
            <w:pPr>
              <w:pStyle w:val="ListParagraph"/>
              <w:numPr>
                <w:ilvl w:val="0"/>
                <w:numId w:val="9"/>
              </w:numPr>
              <w:rPr>
                <w:rFonts w:ascii="Arial" w:hAnsi="Arial" w:cs="Arial"/>
                <w:sz w:val="20"/>
                <w:szCs w:val="20"/>
              </w:rPr>
            </w:pPr>
            <w:r w:rsidRPr="00EF34F1">
              <w:rPr>
                <w:rFonts w:ascii="Arial" w:hAnsi="Arial" w:cs="Arial"/>
                <w:bCs/>
                <w:i/>
                <w:iCs/>
                <w:sz w:val="20"/>
                <w:szCs w:val="20"/>
              </w:rPr>
              <w:t>From January 2021,</w:t>
            </w:r>
            <w:r w:rsidR="006440D7">
              <w:rPr>
                <w:rFonts w:ascii="Arial" w:hAnsi="Arial" w:cs="Arial"/>
                <w:bCs/>
                <w:i/>
                <w:iCs/>
                <w:sz w:val="20"/>
                <w:szCs w:val="20"/>
              </w:rPr>
              <w:t xml:space="preserve"> </w:t>
            </w:r>
            <w:r w:rsidRPr="00EF34F1">
              <w:rPr>
                <w:rFonts w:ascii="Arial" w:hAnsi="Arial" w:cs="Arial"/>
                <w:bCs/>
                <w:i/>
                <w:iCs/>
                <w:sz w:val="20"/>
                <w:szCs w:val="20"/>
              </w:rPr>
              <w:t>no child benefit payments are made in respe</w:t>
            </w:r>
            <w:r>
              <w:rPr>
                <w:rFonts w:ascii="Arial" w:hAnsi="Arial" w:cs="Arial"/>
                <w:bCs/>
                <w:i/>
                <w:iCs/>
                <w:sz w:val="20"/>
                <w:szCs w:val="20"/>
              </w:rPr>
              <w:t>ct of children living overseas.</w:t>
            </w:r>
            <w:r w:rsidR="002448FF">
              <w:rPr>
                <w:rFonts w:ascii="Arial" w:hAnsi="Arial" w:cs="Arial"/>
                <w:bCs/>
                <w:i/>
                <w:iCs/>
                <w:sz w:val="20"/>
                <w:szCs w:val="20"/>
              </w:rPr>
              <w:t xml:space="preserve"> </w:t>
            </w:r>
            <w:r w:rsidRPr="00EF34F1">
              <w:rPr>
                <w:rFonts w:ascii="Arial" w:hAnsi="Arial" w:cs="Arial"/>
                <w:bCs/>
                <w:i/>
                <w:iCs/>
                <w:sz w:val="20"/>
                <w:szCs w:val="20"/>
              </w:rPr>
              <w:t xml:space="preserve">This </w:t>
            </w:r>
            <w:r w:rsidRPr="00EF34F1">
              <w:rPr>
                <w:rFonts w:ascii="Arial" w:hAnsi="Arial" w:cs="Arial"/>
                <w:bCs/>
                <w:i/>
                <w:iCs/>
                <w:sz w:val="20"/>
                <w:szCs w:val="20"/>
                <w:lang w:val="x-none"/>
              </w:rPr>
              <w:t>will apply to EEA migrants arriving in</w:t>
            </w:r>
            <w:r w:rsidRPr="00EF34F1">
              <w:rPr>
                <w:rFonts w:ascii="Arial" w:hAnsi="Arial" w:cs="Arial"/>
                <w:bCs/>
                <w:i/>
                <w:iCs/>
                <w:sz w:val="20"/>
                <w:szCs w:val="20"/>
              </w:rPr>
              <w:t xml:space="preserve"> </w:t>
            </w:r>
            <w:r w:rsidRPr="00EF34F1">
              <w:rPr>
                <w:rFonts w:ascii="Arial" w:hAnsi="Arial" w:cs="Arial"/>
                <w:bCs/>
                <w:i/>
                <w:iCs/>
                <w:sz w:val="20"/>
                <w:szCs w:val="20"/>
                <w:lang w:val="x-none"/>
              </w:rPr>
              <w:t>the UK under the new immigration system</w:t>
            </w:r>
            <w:r>
              <w:rPr>
                <w:rFonts w:ascii="Arial" w:hAnsi="Arial" w:cs="Arial"/>
                <w:bCs/>
                <w:i/>
                <w:iCs/>
                <w:sz w:val="20"/>
                <w:szCs w:val="20"/>
              </w:rPr>
              <w:t>.</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Personal allowances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9F06A8">
            <w:pPr>
              <w:jc w:val="right"/>
              <w:rPr>
                <w:rFonts w:ascii="Arial" w:hAnsi="Arial" w:cs="Arial"/>
                <w:b/>
                <w:bCs/>
                <w:sz w:val="20"/>
                <w:szCs w:val="20"/>
              </w:rPr>
            </w:pPr>
            <w:r w:rsidRPr="00EF34F1">
              <w:rPr>
                <w:rFonts w:ascii="Arial" w:hAnsi="Arial" w:cs="Arial"/>
                <w:b/>
                <w:bCs/>
                <w:sz w:val="20"/>
                <w:szCs w:val="20"/>
              </w:rPr>
              <w:t> </w:t>
            </w:r>
            <w:r w:rsidR="009F06A8">
              <w:rPr>
                <w:rFonts w:ascii="Arial" w:hAnsi="Arial" w:cs="Arial"/>
                <w:b/>
                <w:bCs/>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9F06A8" w:rsidP="009F06A8">
            <w:pPr>
              <w:jc w:val="right"/>
              <w:rPr>
                <w:rFonts w:ascii="Arial" w:hAnsi="Arial" w:cs="Arial"/>
                <w:b/>
                <w:bCs/>
                <w:sz w:val="20"/>
                <w:szCs w:val="20"/>
              </w:rPr>
            </w:pPr>
            <w:r>
              <w:rPr>
                <w:rFonts w:ascii="Arial" w:hAnsi="Arial" w:cs="Arial"/>
                <w:b/>
                <w:bCs/>
                <w:sz w:val="20"/>
                <w:szCs w:val="20"/>
              </w:rPr>
              <w:t>£</w:t>
            </w:r>
            <w:r w:rsidR="00450938" w:rsidRPr="00EF34F1">
              <w:rPr>
                <w:rFonts w:ascii="Arial" w:hAnsi="Arial" w:cs="Arial"/>
                <w:b/>
                <w:bCs/>
                <w:sz w:val="20"/>
                <w:szCs w:val="20"/>
              </w:rPr>
              <w:t> </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Personal allowance </w:t>
            </w:r>
            <w:r w:rsidR="00A6693E">
              <w:rPr>
                <w:rFonts w:ascii="Arial" w:hAnsi="Arial" w:cs="Arial"/>
                <w:sz w:val="20"/>
                <w:szCs w:val="20"/>
              </w:rPr>
              <w:t>(</w:t>
            </w:r>
            <w:r w:rsidRPr="00EF34F1">
              <w:rPr>
                <w:rFonts w:ascii="Arial" w:hAnsi="Arial" w:cs="Arial"/>
                <w:sz w:val="20"/>
                <w:szCs w:val="20"/>
              </w:rPr>
              <w:t>note 1</w:t>
            </w:r>
            <w:r w:rsidR="00A6693E">
              <w:rPr>
                <w:rFonts w:ascii="Arial" w:hAnsi="Arial" w:cs="Arial"/>
                <w:sz w:val="20"/>
                <w:szCs w:val="20"/>
              </w:rPr>
              <w:t>)</w:t>
            </w:r>
            <w:r w:rsidRPr="00EF34F1">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12,500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12,500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Dividend allowance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2,000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2,000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734619">
            <w:pPr>
              <w:rPr>
                <w:rFonts w:ascii="Arial" w:hAnsi="Arial" w:cs="Arial"/>
                <w:sz w:val="20"/>
                <w:szCs w:val="20"/>
              </w:rPr>
            </w:pPr>
            <w:r w:rsidRPr="00EF34F1">
              <w:rPr>
                <w:rFonts w:ascii="Arial" w:hAnsi="Arial" w:cs="Arial"/>
                <w:sz w:val="20"/>
                <w:szCs w:val="20"/>
              </w:rPr>
              <w:t xml:space="preserve">Maximum </w:t>
            </w:r>
            <w:r w:rsidR="009F06A8">
              <w:rPr>
                <w:rFonts w:ascii="Arial" w:hAnsi="Arial" w:cs="Arial"/>
                <w:sz w:val="20"/>
                <w:szCs w:val="20"/>
              </w:rPr>
              <w:t>m</w:t>
            </w:r>
            <w:r w:rsidRPr="00EF34F1">
              <w:rPr>
                <w:rFonts w:ascii="Arial" w:hAnsi="Arial" w:cs="Arial"/>
                <w:sz w:val="20"/>
                <w:szCs w:val="20"/>
              </w:rPr>
              <w:t xml:space="preserve">arried couple’s allowance for those born before 6 April 1935 </w:t>
            </w:r>
            <w:r w:rsidR="009F06A8">
              <w:rPr>
                <w:rFonts w:ascii="Arial" w:hAnsi="Arial" w:cs="Arial"/>
                <w:sz w:val="20"/>
                <w:szCs w:val="20"/>
              </w:rPr>
              <w:t>(</w:t>
            </w:r>
            <w:r w:rsidRPr="00EF34F1">
              <w:rPr>
                <w:rFonts w:ascii="Arial" w:hAnsi="Arial" w:cs="Arial"/>
                <w:sz w:val="20"/>
                <w:szCs w:val="20"/>
              </w:rPr>
              <w:t>note 2</w:t>
            </w:r>
            <w:r w:rsidR="009F06A8">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8,915</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8,915</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6D6A66">
            <w:pPr>
              <w:rPr>
                <w:rFonts w:ascii="Arial" w:hAnsi="Arial" w:cs="Arial"/>
                <w:sz w:val="20"/>
                <w:szCs w:val="20"/>
              </w:rPr>
            </w:pPr>
            <w:r w:rsidRPr="00EF34F1">
              <w:rPr>
                <w:rFonts w:ascii="Arial" w:hAnsi="Arial" w:cs="Arial"/>
                <w:sz w:val="20"/>
                <w:szCs w:val="20"/>
              </w:rPr>
              <w:t xml:space="preserve">Married couple’s allowance – minimum amount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3,450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3,450</w:t>
            </w:r>
          </w:p>
        </w:tc>
      </w:tr>
      <w:tr w:rsidR="00450938" w:rsidRPr="00EF34F1" w:rsidTr="004637DA">
        <w:trPr>
          <w:trHeight w:val="1800"/>
        </w:trPr>
        <w:tc>
          <w:tcPr>
            <w:tcW w:w="6376" w:type="dxa"/>
            <w:tcBorders>
              <w:top w:val="single" w:sz="4" w:space="0" w:color="auto"/>
              <w:left w:val="single" w:sz="4" w:space="0" w:color="auto"/>
              <w:bottom w:val="single" w:sz="4" w:space="0" w:color="auto"/>
              <w:right w:val="single" w:sz="4" w:space="0" w:color="auto"/>
            </w:tcBorders>
            <w:hideMark/>
          </w:tcPr>
          <w:p w:rsidR="00450938" w:rsidRPr="00EF34F1" w:rsidRDefault="009F06A8" w:rsidP="000B3037">
            <w:pPr>
              <w:rPr>
                <w:rFonts w:ascii="Arial" w:hAnsi="Arial" w:cs="Arial"/>
                <w:sz w:val="20"/>
                <w:szCs w:val="20"/>
                <w:u w:val="single"/>
              </w:rPr>
            </w:pPr>
            <w:r w:rsidRPr="00EF34F1">
              <w:rPr>
                <w:rFonts w:ascii="Arial" w:hAnsi="Arial" w:cs="Arial"/>
                <w:sz w:val="20"/>
                <w:szCs w:val="20"/>
              </w:rPr>
              <w:t>Micro entrepreneur</w:t>
            </w:r>
            <w:r>
              <w:rPr>
                <w:rFonts w:ascii="Arial" w:hAnsi="Arial" w:cs="Arial"/>
                <w:sz w:val="20"/>
                <w:szCs w:val="20"/>
              </w:rPr>
              <w:t>’</w:t>
            </w:r>
            <w:r w:rsidRPr="00EF34F1">
              <w:rPr>
                <w:rFonts w:ascii="Arial" w:hAnsi="Arial" w:cs="Arial"/>
                <w:sz w:val="20"/>
                <w:szCs w:val="20"/>
              </w:rPr>
              <w:t>s allowance:</w:t>
            </w:r>
            <w:r>
              <w:rPr>
                <w:rFonts w:ascii="Arial" w:hAnsi="Arial" w:cs="Arial"/>
                <w:sz w:val="20"/>
                <w:szCs w:val="20"/>
              </w:rPr>
              <w:t xml:space="preserve"> i</w:t>
            </w:r>
            <w:r w:rsidR="00450938" w:rsidRPr="00EF34F1">
              <w:rPr>
                <w:rFonts w:ascii="Arial" w:hAnsi="Arial" w:cs="Arial"/>
                <w:sz w:val="20"/>
                <w:szCs w:val="20"/>
              </w:rPr>
              <w:t xml:space="preserve">ndividuals making property or trading incomes below the level of the allowance </w:t>
            </w:r>
            <w:r w:rsidR="00562C61">
              <w:rPr>
                <w:rFonts w:ascii="Arial" w:hAnsi="Arial" w:cs="Arial"/>
                <w:sz w:val="20"/>
                <w:szCs w:val="20"/>
              </w:rPr>
              <w:t>will</w:t>
            </w:r>
            <w:r w:rsidR="00450938" w:rsidRPr="00EF34F1">
              <w:rPr>
                <w:rFonts w:ascii="Arial" w:hAnsi="Arial" w:cs="Arial"/>
                <w:sz w:val="20"/>
                <w:szCs w:val="20"/>
              </w:rPr>
              <w:t xml:space="preserve"> no longer need to declare or pay tax, while those whose income exceeds the allowance have the choice of simply deducting the allowance instead of calculating their exact expenses or calculating their profits in the normal manner</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Allowance</w:t>
            </w:r>
            <w:r w:rsidR="001A4E6A">
              <w:rPr>
                <w:rFonts w:ascii="Arial" w:hAnsi="Arial" w:cs="Arial"/>
                <w:sz w:val="20"/>
                <w:szCs w:val="20"/>
              </w:rPr>
              <w:t>:</w:t>
            </w:r>
            <w:r w:rsidRPr="00EF34F1">
              <w:rPr>
                <w:rFonts w:ascii="Arial" w:hAnsi="Arial" w:cs="Arial"/>
                <w:sz w:val="20"/>
                <w:szCs w:val="20"/>
              </w:rPr>
              <w:t xml:space="preserve"> </w:t>
            </w:r>
            <w:r w:rsidR="00562C61">
              <w:rPr>
                <w:rFonts w:ascii="Arial" w:hAnsi="Arial" w:cs="Arial"/>
                <w:sz w:val="20"/>
                <w:szCs w:val="20"/>
              </w:rPr>
              <w:br/>
            </w:r>
            <w:r w:rsidRPr="00EF34F1">
              <w:rPr>
                <w:rFonts w:ascii="Arial" w:hAnsi="Arial" w:cs="Arial"/>
                <w:sz w:val="20"/>
                <w:szCs w:val="20"/>
              </w:rPr>
              <w:t xml:space="preserve">1,000 </w:t>
            </w:r>
            <w:r w:rsidR="00562C61">
              <w:rPr>
                <w:rFonts w:ascii="Arial" w:hAnsi="Arial" w:cs="Arial"/>
                <w:sz w:val="20"/>
                <w:szCs w:val="20"/>
              </w:rPr>
              <w:br/>
            </w:r>
            <w:r w:rsidRPr="00EF34F1">
              <w:rPr>
                <w:rFonts w:ascii="Arial" w:hAnsi="Arial" w:cs="Arial"/>
                <w:sz w:val="20"/>
                <w:szCs w:val="20"/>
              </w:rPr>
              <w:t>each</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 Allowance</w:t>
            </w:r>
            <w:r w:rsidR="001A4E6A">
              <w:rPr>
                <w:rFonts w:ascii="Arial" w:hAnsi="Arial" w:cs="Arial"/>
                <w:sz w:val="20"/>
                <w:szCs w:val="20"/>
              </w:rPr>
              <w:t>:</w:t>
            </w:r>
            <w:r w:rsidRPr="00EF34F1">
              <w:rPr>
                <w:rFonts w:ascii="Arial" w:hAnsi="Arial" w:cs="Arial"/>
                <w:sz w:val="20"/>
                <w:szCs w:val="20"/>
              </w:rPr>
              <w:t xml:space="preserve"> 1,000 </w:t>
            </w:r>
            <w:r w:rsidR="00562C61">
              <w:rPr>
                <w:rFonts w:ascii="Arial" w:hAnsi="Arial" w:cs="Arial"/>
                <w:sz w:val="20"/>
                <w:szCs w:val="20"/>
              </w:rPr>
              <w:br/>
            </w:r>
            <w:r w:rsidRPr="00EF34F1">
              <w:rPr>
                <w:rFonts w:ascii="Arial" w:hAnsi="Arial" w:cs="Arial"/>
                <w:sz w:val="20"/>
                <w:szCs w:val="20"/>
              </w:rPr>
              <w:t>each</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11ED">
            <w:pPr>
              <w:rPr>
                <w:rFonts w:ascii="Arial" w:hAnsi="Arial" w:cs="Arial"/>
                <w:sz w:val="20"/>
                <w:szCs w:val="20"/>
              </w:rPr>
            </w:pPr>
            <w:r w:rsidRPr="00EF34F1">
              <w:rPr>
                <w:rFonts w:ascii="Arial" w:hAnsi="Arial" w:cs="Arial"/>
                <w:sz w:val="20"/>
                <w:szCs w:val="20"/>
              </w:rPr>
              <w:t xml:space="preserve">Income limit </w:t>
            </w:r>
            <w:r w:rsidR="00B11771">
              <w:rPr>
                <w:rFonts w:ascii="Arial" w:hAnsi="Arial" w:cs="Arial"/>
                <w:sz w:val="20"/>
                <w:szCs w:val="20"/>
              </w:rPr>
              <w:t>(</w:t>
            </w:r>
            <w:r w:rsidRPr="00EF34F1">
              <w:rPr>
                <w:rFonts w:ascii="Arial" w:hAnsi="Arial" w:cs="Arial"/>
                <w:sz w:val="20"/>
                <w:szCs w:val="20"/>
              </w:rPr>
              <w:t>note 3</w:t>
            </w:r>
            <w:r w:rsidR="00B11771">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100,000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 100,000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Income limit for </w:t>
            </w:r>
            <w:r w:rsidR="00324B7D">
              <w:rPr>
                <w:rFonts w:ascii="Arial" w:hAnsi="Arial" w:cs="Arial"/>
                <w:sz w:val="20"/>
                <w:szCs w:val="20"/>
              </w:rPr>
              <w:t>m</w:t>
            </w:r>
            <w:r w:rsidRPr="00EF34F1">
              <w:rPr>
                <w:rFonts w:ascii="Arial" w:hAnsi="Arial" w:cs="Arial"/>
                <w:sz w:val="20"/>
                <w:szCs w:val="20"/>
              </w:rPr>
              <w:t>arried couple’s allowance</w:t>
            </w:r>
            <w:r w:rsidR="00324B7D">
              <w:rPr>
                <w:rFonts w:ascii="Arial" w:hAnsi="Arial" w:cs="Arial"/>
                <w:sz w:val="20"/>
                <w:szCs w:val="20"/>
              </w:rPr>
              <w:t>:</w:t>
            </w:r>
            <w:r w:rsidRPr="00EF34F1">
              <w:rPr>
                <w:rFonts w:ascii="Arial" w:hAnsi="Arial" w:cs="Arial"/>
                <w:sz w:val="20"/>
                <w:szCs w:val="20"/>
              </w:rPr>
              <w:t xml:space="preserve"> born before 6 April 1935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29,600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 29,600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Blind person</w:t>
            </w:r>
            <w:r w:rsidR="00324B7D">
              <w:rPr>
                <w:rFonts w:ascii="Arial" w:hAnsi="Arial" w:cs="Arial"/>
                <w:sz w:val="20"/>
                <w:szCs w:val="20"/>
              </w:rPr>
              <w:t>’</w:t>
            </w:r>
            <w:r w:rsidRPr="00EF34F1">
              <w:rPr>
                <w:rFonts w:ascii="Arial" w:hAnsi="Arial" w:cs="Arial"/>
                <w:sz w:val="20"/>
                <w:szCs w:val="20"/>
              </w:rPr>
              <w:t>s allowance</w:t>
            </w:r>
          </w:p>
        </w:tc>
        <w:tc>
          <w:tcPr>
            <w:tcW w:w="1842" w:type="dxa"/>
            <w:tcBorders>
              <w:top w:val="single" w:sz="4" w:space="0" w:color="auto"/>
              <w:left w:val="single" w:sz="4" w:space="0" w:color="auto"/>
              <w:bottom w:val="single" w:sz="4" w:space="0" w:color="auto"/>
              <w:right w:val="single" w:sz="4" w:space="0" w:color="auto"/>
            </w:tcBorders>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2,450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 2,450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Rent-a-room relief</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7,500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F06A8">
            <w:pPr>
              <w:jc w:val="right"/>
              <w:rPr>
                <w:rFonts w:ascii="Arial" w:hAnsi="Arial" w:cs="Arial"/>
                <w:sz w:val="20"/>
                <w:szCs w:val="20"/>
              </w:rPr>
            </w:pPr>
            <w:r w:rsidRPr="00EF34F1">
              <w:rPr>
                <w:rFonts w:ascii="Arial" w:hAnsi="Arial" w:cs="Arial"/>
                <w:sz w:val="20"/>
                <w:szCs w:val="20"/>
              </w:rPr>
              <w:t> 7,500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Transferable/shareable tax allowance for married couples and civil partners </w:t>
            </w:r>
            <w:r w:rsidR="00DF7AF3">
              <w:rPr>
                <w:rFonts w:ascii="Arial" w:hAnsi="Arial" w:cs="Arial"/>
                <w:sz w:val="20"/>
                <w:szCs w:val="20"/>
              </w:rPr>
              <w:t>(</w:t>
            </w:r>
            <w:r w:rsidRPr="00EF34F1">
              <w:rPr>
                <w:rFonts w:ascii="Arial" w:hAnsi="Arial" w:cs="Arial"/>
                <w:sz w:val="20"/>
                <w:szCs w:val="20"/>
              </w:rPr>
              <w:t>note 4</w:t>
            </w:r>
            <w:r w:rsidR="00DF7AF3">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755BBD">
            <w:pPr>
              <w:jc w:val="right"/>
              <w:rPr>
                <w:rFonts w:ascii="Arial" w:hAnsi="Arial" w:cs="Arial"/>
                <w:sz w:val="20"/>
                <w:szCs w:val="20"/>
              </w:rPr>
            </w:pPr>
            <w:r w:rsidRPr="00EF34F1">
              <w:rPr>
                <w:rFonts w:ascii="Arial" w:hAnsi="Arial" w:cs="Arial"/>
                <w:sz w:val="20"/>
                <w:szCs w:val="20"/>
              </w:rPr>
              <w:t>1,250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755BBD">
            <w:pPr>
              <w:jc w:val="right"/>
              <w:rPr>
                <w:rFonts w:ascii="Arial" w:hAnsi="Arial" w:cs="Arial"/>
                <w:sz w:val="20"/>
                <w:szCs w:val="20"/>
              </w:rPr>
            </w:pPr>
            <w:r w:rsidRPr="00EF34F1">
              <w:rPr>
                <w:rFonts w:ascii="Arial" w:hAnsi="Arial" w:cs="Arial"/>
                <w:sz w:val="20"/>
                <w:szCs w:val="20"/>
              </w:rPr>
              <w:t>1,250</w:t>
            </w:r>
          </w:p>
        </w:tc>
      </w:tr>
      <w:tr w:rsidR="00D55B7F"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D55B7F" w:rsidRPr="00EF34F1" w:rsidRDefault="00D55B7F" w:rsidP="00361A8F">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D55B7F" w:rsidRPr="00EF34F1" w:rsidRDefault="00D55B7F" w:rsidP="00361A8F">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D55B7F" w:rsidRPr="00EF34F1" w:rsidRDefault="00D55B7F" w:rsidP="00361A8F">
            <w:pPr>
              <w:jc w:val="right"/>
              <w:rPr>
                <w:rFonts w:ascii="Arial" w:hAnsi="Arial" w:cs="Arial"/>
                <w:b/>
                <w:bCs/>
                <w:sz w:val="24"/>
                <w:szCs w:val="24"/>
              </w:rPr>
            </w:pPr>
            <w:r w:rsidRPr="00EF34F1">
              <w:rPr>
                <w:rFonts w:ascii="Arial" w:hAnsi="Arial" w:cs="Arial"/>
                <w:b/>
                <w:bCs/>
                <w:sz w:val="24"/>
                <w:szCs w:val="24"/>
              </w:rPr>
              <w:t>2020/21</w:t>
            </w:r>
          </w:p>
        </w:tc>
      </w:tr>
      <w:tr w:rsidR="00D55B7F"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D55B7F" w:rsidRPr="00EF34F1" w:rsidRDefault="00D55B7F" w:rsidP="00361A8F">
            <w:pPr>
              <w:rPr>
                <w:rFonts w:ascii="Arial" w:hAnsi="Arial" w:cs="Arial"/>
                <w:sz w:val="20"/>
                <w:szCs w:val="20"/>
              </w:rPr>
            </w:pPr>
            <w:r w:rsidRPr="00EF34F1">
              <w:rPr>
                <w:rFonts w:ascii="Arial" w:hAnsi="Arial" w:cs="Arial"/>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D55B7F" w:rsidRPr="00EF34F1" w:rsidRDefault="00D55B7F" w:rsidP="00361A8F">
            <w:pPr>
              <w:jc w:val="right"/>
              <w:rPr>
                <w:rFonts w:ascii="Arial" w:hAnsi="Arial" w:cs="Arial"/>
                <w:b/>
                <w:bCs/>
                <w:sz w:val="24"/>
                <w:szCs w:val="24"/>
              </w:rPr>
            </w:pPr>
            <w:r>
              <w:rPr>
                <w:rFonts w:ascii="Arial" w:hAnsi="Arial" w:cs="Arial"/>
                <w:b/>
                <w:bCs/>
                <w:sz w:val="24"/>
                <w:szCs w:val="24"/>
              </w:rPr>
              <w:t>£</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D55B7F" w:rsidRPr="00EF34F1" w:rsidRDefault="00D55B7F" w:rsidP="00361A8F">
            <w:pPr>
              <w:jc w:val="right"/>
              <w:rPr>
                <w:rFonts w:ascii="Arial" w:hAnsi="Arial" w:cs="Arial"/>
                <w:b/>
                <w:bCs/>
                <w:sz w:val="24"/>
                <w:szCs w:val="24"/>
              </w:rPr>
            </w:pPr>
            <w:r>
              <w:rPr>
                <w:rFonts w:ascii="Arial" w:hAnsi="Arial" w:cs="Arial"/>
                <w:b/>
                <w:bCs/>
                <w:sz w:val="24"/>
                <w:szCs w:val="24"/>
              </w:rPr>
              <w:t>£</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Personal savings allowance for basic rate taxpayers </w:t>
            </w:r>
            <w:r w:rsidR="00463D7C">
              <w:rPr>
                <w:rFonts w:ascii="Arial" w:hAnsi="Arial" w:cs="Arial"/>
                <w:sz w:val="20"/>
                <w:szCs w:val="20"/>
              </w:rPr>
              <w:t>(</w:t>
            </w:r>
            <w:r w:rsidRPr="00EF34F1">
              <w:rPr>
                <w:rFonts w:ascii="Arial" w:hAnsi="Arial" w:cs="Arial"/>
                <w:sz w:val="20"/>
                <w:szCs w:val="20"/>
              </w:rPr>
              <w:t>note 5</w:t>
            </w:r>
            <w:r w:rsidR="00463D7C">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D55B7F">
            <w:pPr>
              <w:jc w:val="right"/>
              <w:rPr>
                <w:rFonts w:ascii="Arial" w:hAnsi="Arial" w:cs="Arial"/>
                <w:sz w:val="20"/>
                <w:szCs w:val="20"/>
              </w:rPr>
            </w:pPr>
            <w:r w:rsidRPr="00EF34F1">
              <w:rPr>
                <w:rFonts w:ascii="Arial" w:hAnsi="Arial" w:cs="Arial"/>
                <w:sz w:val="20"/>
                <w:szCs w:val="20"/>
              </w:rPr>
              <w:t>1,000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D55B7F">
            <w:pPr>
              <w:jc w:val="right"/>
              <w:rPr>
                <w:rFonts w:ascii="Arial" w:hAnsi="Arial" w:cs="Arial"/>
                <w:sz w:val="20"/>
                <w:szCs w:val="20"/>
              </w:rPr>
            </w:pPr>
            <w:r w:rsidRPr="00EF34F1">
              <w:rPr>
                <w:rFonts w:ascii="Arial" w:hAnsi="Arial" w:cs="Arial"/>
                <w:sz w:val="20"/>
                <w:szCs w:val="20"/>
              </w:rPr>
              <w:t> 1,000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0C4D6F">
            <w:pPr>
              <w:rPr>
                <w:rFonts w:ascii="Arial" w:hAnsi="Arial" w:cs="Arial"/>
                <w:sz w:val="20"/>
                <w:szCs w:val="20"/>
              </w:rPr>
            </w:pPr>
            <w:r w:rsidRPr="00EF34F1">
              <w:rPr>
                <w:rFonts w:ascii="Arial" w:hAnsi="Arial" w:cs="Arial"/>
                <w:sz w:val="20"/>
                <w:szCs w:val="20"/>
              </w:rPr>
              <w:t xml:space="preserve">Personal savings allowance for higher rate taxpayers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D55B7F">
            <w:pPr>
              <w:jc w:val="right"/>
              <w:rPr>
                <w:rFonts w:ascii="Arial" w:hAnsi="Arial" w:cs="Arial"/>
                <w:sz w:val="20"/>
                <w:szCs w:val="20"/>
              </w:rPr>
            </w:pPr>
            <w:r w:rsidRPr="00EF34F1">
              <w:rPr>
                <w:rFonts w:ascii="Arial" w:hAnsi="Arial" w:cs="Arial"/>
                <w:sz w:val="20"/>
                <w:szCs w:val="20"/>
              </w:rPr>
              <w:t>500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D55B7F">
            <w:pPr>
              <w:jc w:val="right"/>
              <w:rPr>
                <w:rFonts w:ascii="Arial" w:hAnsi="Arial" w:cs="Arial"/>
                <w:sz w:val="20"/>
                <w:szCs w:val="20"/>
              </w:rPr>
            </w:pPr>
            <w:r w:rsidRPr="00EF34F1">
              <w:rPr>
                <w:rFonts w:ascii="Arial" w:hAnsi="Arial" w:cs="Arial"/>
                <w:sz w:val="20"/>
                <w:szCs w:val="20"/>
              </w:rPr>
              <w:t> 500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450938" w:rsidRPr="00EF34F1" w:rsidRDefault="00450938" w:rsidP="009D2B0D">
            <w:pPr>
              <w:rPr>
                <w:rFonts w:ascii="Arial" w:hAnsi="Arial" w:cs="Arial"/>
                <w:sz w:val="20"/>
                <w:szCs w:val="20"/>
              </w:rPr>
            </w:pPr>
            <w:r w:rsidRPr="00EF34F1">
              <w:rPr>
                <w:rFonts w:ascii="Arial" w:hAnsi="Arial" w:cs="Arial"/>
                <w:sz w:val="20"/>
                <w:szCs w:val="20"/>
              </w:rPr>
              <w:t xml:space="preserve">Personal savings allowance for additional rate taxpayers </w:t>
            </w:r>
          </w:p>
        </w:tc>
        <w:tc>
          <w:tcPr>
            <w:tcW w:w="1842" w:type="dxa"/>
            <w:tcBorders>
              <w:top w:val="single" w:sz="4" w:space="0" w:color="auto"/>
              <w:left w:val="single" w:sz="4" w:space="0" w:color="auto"/>
              <w:bottom w:val="single" w:sz="4" w:space="0" w:color="auto"/>
              <w:right w:val="single" w:sz="4" w:space="0" w:color="auto"/>
            </w:tcBorders>
            <w:noWrap/>
          </w:tcPr>
          <w:p w:rsidR="00450938" w:rsidRPr="00EF34F1" w:rsidRDefault="00450938" w:rsidP="00D55B7F">
            <w:pPr>
              <w:jc w:val="right"/>
              <w:rPr>
                <w:rFonts w:ascii="Arial" w:hAnsi="Arial" w:cs="Arial"/>
                <w:sz w:val="20"/>
                <w:szCs w:val="20"/>
              </w:rPr>
            </w:pPr>
            <w:r w:rsidRPr="00EF34F1">
              <w:rPr>
                <w:rFonts w:ascii="Arial" w:hAnsi="Arial" w:cs="Arial"/>
                <w:sz w:val="20"/>
                <w:szCs w:val="20"/>
              </w:rPr>
              <w:t>0</w:t>
            </w:r>
          </w:p>
        </w:tc>
        <w:tc>
          <w:tcPr>
            <w:tcW w:w="1700" w:type="dxa"/>
            <w:tcBorders>
              <w:top w:val="single" w:sz="4" w:space="0" w:color="auto"/>
              <w:left w:val="single" w:sz="4" w:space="0" w:color="auto"/>
              <w:bottom w:val="single" w:sz="4" w:space="0" w:color="auto"/>
              <w:right w:val="single" w:sz="4" w:space="0" w:color="auto"/>
            </w:tcBorders>
            <w:noWrap/>
          </w:tcPr>
          <w:p w:rsidR="00450938" w:rsidRPr="00EF34F1" w:rsidRDefault="00450938" w:rsidP="00D55B7F">
            <w:pPr>
              <w:jc w:val="right"/>
              <w:rPr>
                <w:rFonts w:ascii="Arial" w:hAnsi="Arial" w:cs="Arial"/>
                <w:sz w:val="20"/>
                <w:szCs w:val="20"/>
              </w:rPr>
            </w:pPr>
            <w:r w:rsidRPr="00EF34F1">
              <w:rPr>
                <w:rFonts w:ascii="Arial" w:hAnsi="Arial" w:cs="Arial"/>
                <w:sz w:val="20"/>
                <w:szCs w:val="20"/>
              </w:rPr>
              <w:t>0</w:t>
            </w:r>
          </w:p>
        </w:tc>
      </w:tr>
      <w:tr w:rsidR="000775D6"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0775D6" w:rsidRPr="00EF34F1" w:rsidRDefault="00463D7C" w:rsidP="000775D6">
            <w:pPr>
              <w:rPr>
                <w:rFonts w:ascii="Arial" w:hAnsi="Arial" w:cs="Arial"/>
                <w:sz w:val="20"/>
                <w:szCs w:val="20"/>
              </w:rPr>
            </w:pPr>
            <w:r w:rsidRPr="00EF34F1">
              <w:rPr>
                <w:rFonts w:ascii="Arial" w:hAnsi="Arial" w:cs="Arial"/>
                <w:bCs/>
                <w:i/>
                <w:sz w:val="20"/>
                <w:szCs w:val="20"/>
              </w:rPr>
              <w:t xml:space="preserve">Note </w:t>
            </w:r>
            <w:r w:rsidR="000775D6" w:rsidRPr="00EF34F1">
              <w:rPr>
                <w:rFonts w:ascii="Arial" w:hAnsi="Arial" w:cs="Arial"/>
                <w:i/>
                <w:iCs/>
                <w:sz w:val="20"/>
                <w:szCs w:val="20"/>
              </w:rPr>
              <w:t>1</w:t>
            </w:r>
            <w:r>
              <w:rPr>
                <w:rFonts w:ascii="Arial" w:hAnsi="Arial" w:cs="Arial"/>
                <w:i/>
                <w:iCs/>
                <w:sz w:val="20"/>
                <w:szCs w:val="20"/>
              </w:rPr>
              <w:t>:</w:t>
            </w:r>
            <w:r w:rsidR="000775D6" w:rsidRPr="00EF34F1">
              <w:rPr>
                <w:rFonts w:ascii="Arial" w:hAnsi="Arial" w:cs="Arial"/>
                <w:i/>
                <w:iCs/>
                <w:sz w:val="20"/>
                <w:szCs w:val="20"/>
              </w:rPr>
              <w:t xml:space="preserve"> From 2016</w:t>
            </w:r>
            <w:r>
              <w:rPr>
                <w:rFonts w:ascii="Arial" w:hAnsi="Arial" w:cs="Arial"/>
                <w:i/>
                <w:iCs/>
                <w:sz w:val="20"/>
                <w:szCs w:val="20"/>
              </w:rPr>
              <w:t>/</w:t>
            </w:r>
            <w:r w:rsidR="000775D6" w:rsidRPr="00EF34F1">
              <w:rPr>
                <w:rFonts w:ascii="Arial" w:hAnsi="Arial" w:cs="Arial"/>
                <w:i/>
                <w:iCs/>
                <w:sz w:val="20"/>
                <w:szCs w:val="20"/>
              </w:rPr>
              <w:t xml:space="preserve">17 onwards, all individuals </w:t>
            </w:r>
            <w:r w:rsidR="00E3363B">
              <w:rPr>
                <w:rFonts w:ascii="Arial" w:hAnsi="Arial" w:cs="Arial"/>
                <w:i/>
                <w:iCs/>
                <w:sz w:val="20"/>
                <w:szCs w:val="20"/>
              </w:rPr>
              <w:t>are</w:t>
            </w:r>
            <w:r w:rsidR="000775D6" w:rsidRPr="00EF34F1">
              <w:rPr>
                <w:rFonts w:ascii="Arial" w:hAnsi="Arial" w:cs="Arial"/>
                <w:i/>
                <w:iCs/>
                <w:sz w:val="20"/>
                <w:szCs w:val="20"/>
              </w:rPr>
              <w:t xml:space="preserve"> entitled to the same personal allowance, regardless of the individual</w:t>
            </w:r>
            <w:r w:rsidR="00A031A8">
              <w:rPr>
                <w:rFonts w:ascii="Arial" w:hAnsi="Arial" w:cs="Arial"/>
                <w:i/>
                <w:iCs/>
                <w:sz w:val="20"/>
                <w:szCs w:val="20"/>
              </w:rPr>
              <w:t>’</w:t>
            </w:r>
            <w:r w:rsidR="000775D6" w:rsidRPr="00EF34F1">
              <w:rPr>
                <w:rFonts w:ascii="Arial" w:hAnsi="Arial" w:cs="Arial"/>
                <w:i/>
                <w:iCs/>
                <w:sz w:val="20"/>
                <w:szCs w:val="20"/>
              </w:rPr>
              <w:t>s date of birth. This allowance is subject to the £100,000 income limit which applies regardless of the individual’s date of birth.</w:t>
            </w:r>
          </w:p>
        </w:tc>
      </w:tr>
      <w:tr w:rsidR="000775D6"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0775D6" w:rsidRPr="00EF34F1" w:rsidRDefault="00A031A8" w:rsidP="000775D6">
            <w:pPr>
              <w:rPr>
                <w:rFonts w:ascii="Arial" w:hAnsi="Arial" w:cs="Arial"/>
                <w:sz w:val="20"/>
                <w:szCs w:val="20"/>
              </w:rPr>
            </w:pPr>
            <w:r w:rsidRPr="00EF34F1">
              <w:rPr>
                <w:rFonts w:ascii="Arial" w:hAnsi="Arial" w:cs="Arial"/>
                <w:bCs/>
                <w:i/>
                <w:sz w:val="20"/>
                <w:szCs w:val="20"/>
              </w:rPr>
              <w:t xml:space="preserve">Note </w:t>
            </w:r>
            <w:r w:rsidR="000775D6" w:rsidRPr="00EF34F1">
              <w:rPr>
                <w:rFonts w:ascii="Arial" w:hAnsi="Arial" w:cs="Arial"/>
                <w:i/>
                <w:iCs/>
                <w:sz w:val="20"/>
                <w:szCs w:val="20"/>
              </w:rPr>
              <w:t>2</w:t>
            </w:r>
            <w:r>
              <w:rPr>
                <w:rFonts w:ascii="Arial" w:hAnsi="Arial" w:cs="Arial"/>
                <w:i/>
                <w:iCs/>
                <w:sz w:val="20"/>
                <w:szCs w:val="20"/>
              </w:rPr>
              <w:t>:</w:t>
            </w:r>
            <w:r w:rsidR="000775D6" w:rsidRPr="00EF34F1">
              <w:rPr>
                <w:rFonts w:ascii="Arial" w:hAnsi="Arial" w:cs="Arial"/>
                <w:i/>
                <w:iCs/>
                <w:sz w:val="20"/>
                <w:szCs w:val="20"/>
              </w:rPr>
              <w:t xml:space="preserve"> This allowance is reduced by £1 for every £2 of income in excess of the income limit, but married couple’s allowance will not reduce below £3,450.</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EF34F1" w:rsidRDefault="00A031A8" w:rsidP="001456FA">
            <w:pPr>
              <w:rPr>
                <w:rFonts w:ascii="Arial" w:hAnsi="Arial" w:cs="Arial"/>
                <w:sz w:val="20"/>
                <w:szCs w:val="20"/>
              </w:rPr>
            </w:pPr>
            <w:r w:rsidRPr="00EF34F1">
              <w:rPr>
                <w:rFonts w:ascii="Arial" w:hAnsi="Arial" w:cs="Arial"/>
                <w:bCs/>
                <w:i/>
                <w:sz w:val="20"/>
                <w:szCs w:val="20"/>
              </w:rPr>
              <w:t>Note</w:t>
            </w:r>
            <w:r>
              <w:rPr>
                <w:rFonts w:ascii="Arial" w:hAnsi="Arial" w:cs="Arial"/>
                <w:bCs/>
                <w:i/>
                <w:sz w:val="20"/>
                <w:szCs w:val="20"/>
              </w:rPr>
              <w:t xml:space="preserve"> 3:</w:t>
            </w:r>
            <w:r w:rsidR="001456FA" w:rsidRPr="00EF34F1">
              <w:rPr>
                <w:rFonts w:ascii="Arial" w:hAnsi="Arial" w:cs="Arial"/>
                <w:i/>
                <w:iCs/>
                <w:sz w:val="20"/>
                <w:szCs w:val="20"/>
              </w:rPr>
              <w:t xml:space="preserve"> Personal allowances are subject to the £100,000 income limit</w:t>
            </w:r>
            <w:r w:rsidR="00E3363B">
              <w:rPr>
                <w:rFonts w:ascii="Arial" w:hAnsi="Arial" w:cs="Arial"/>
                <w:i/>
                <w:iCs/>
                <w:sz w:val="20"/>
                <w:szCs w:val="20"/>
              </w:rPr>
              <w:t>,</w:t>
            </w:r>
            <w:r w:rsidR="001456FA" w:rsidRPr="00EF34F1">
              <w:rPr>
                <w:rFonts w:ascii="Arial" w:hAnsi="Arial" w:cs="Arial"/>
                <w:i/>
                <w:iCs/>
                <w:sz w:val="20"/>
                <w:szCs w:val="20"/>
              </w:rPr>
              <w:t xml:space="preserve"> which applies regardless of the individual’s date of birth. The individual’s personal allowance is reduced where their income is above this limit. The allowance is reduced by £1 for every £2 above the limit, down to zero.</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EF34F1" w:rsidRDefault="00EE6AA6" w:rsidP="001456FA">
            <w:pPr>
              <w:rPr>
                <w:rFonts w:ascii="Arial" w:hAnsi="Arial" w:cs="Arial"/>
                <w:i/>
                <w:iCs/>
                <w:sz w:val="20"/>
                <w:szCs w:val="20"/>
              </w:rPr>
            </w:pPr>
            <w:r>
              <w:rPr>
                <w:rFonts w:ascii="Arial" w:hAnsi="Arial" w:cs="Arial"/>
                <w:i/>
                <w:iCs/>
                <w:sz w:val="20"/>
                <w:szCs w:val="20"/>
              </w:rPr>
              <w:t xml:space="preserve">Note </w:t>
            </w:r>
            <w:r w:rsidR="001456FA" w:rsidRPr="00EF34F1">
              <w:rPr>
                <w:rFonts w:ascii="Arial" w:hAnsi="Arial" w:cs="Arial"/>
                <w:i/>
                <w:iCs/>
                <w:sz w:val="20"/>
                <w:szCs w:val="20"/>
              </w:rPr>
              <w:t>4</w:t>
            </w:r>
            <w:r>
              <w:rPr>
                <w:rFonts w:ascii="Arial" w:hAnsi="Arial" w:cs="Arial"/>
                <w:i/>
                <w:iCs/>
                <w:sz w:val="20"/>
                <w:szCs w:val="20"/>
              </w:rPr>
              <w:t>:</w:t>
            </w:r>
            <w:r w:rsidR="001456FA" w:rsidRPr="00EF34F1">
              <w:rPr>
                <w:rFonts w:ascii="Arial" w:hAnsi="Arial" w:cs="Arial"/>
                <w:i/>
                <w:iCs/>
                <w:sz w:val="20"/>
                <w:szCs w:val="20"/>
              </w:rPr>
              <w:t xml:space="preserve"> This allowance is available to married couples and civil partners who are not in receipt of married couple’s allowance. A spouse or civil </w:t>
            </w:r>
            <w:proofErr w:type="gramStart"/>
            <w:r w:rsidR="001456FA" w:rsidRPr="00EF34F1">
              <w:rPr>
                <w:rFonts w:ascii="Arial" w:hAnsi="Arial" w:cs="Arial"/>
                <w:i/>
                <w:iCs/>
                <w:sz w:val="20"/>
                <w:szCs w:val="20"/>
              </w:rPr>
              <w:t>partner</w:t>
            </w:r>
            <w:proofErr w:type="gramEnd"/>
            <w:r w:rsidR="001456FA" w:rsidRPr="00EF34F1">
              <w:rPr>
                <w:rFonts w:ascii="Arial" w:hAnsi="Arial" w:cs="Arial"/>
                <w:i/>
                <w:iCs/>
                <w:sz w:val="20"/>
                <w:szCs w:val="20"/>
              </w:rPr>
              <w:t xml:space="preserve"> who is not liable to income tax</w:t>
            </w:r>
            <w:r w:rsidR="00E81170">
              <w:rPr>
                <w:rFonts w:ascii="Arial" w:hAnsi="Arial" w:cs="Arial"/>
                <w:i/>
                <w:iCs/>
                <w:sz w:val="20"/>
                <w:szCs w:val="20"/>
              </w:rPr>
              <w:t>,</w:t>
            </w:r>
            <w:r w:rsidR="001456FA" w:rsidRPr="00EF34F1">
              <w:rPr>
                <w:rFonts w:ascii="Arial" w:hAnsi="Arial" w:cs="Arial"/>
                <w:i/>
                <w:iCs/>
                <w:sz w:val="20"/>
                <w:szCs w:val="20"/>
              </w:rPr>
              <w:t xml:space="preserve"> or not liable at the higher or additional rates, can transfer this amount of their unused personal allowance to their spouse or civil partner. The recipient must not be liable to income tax at the higher or additional rates.</w:t>
            </w:r>
          </w:p>
          <w:p w:rsidR="001456FA" w:rsidRPr="00EF34F1" w:rsidRDefault="001456FA" w:rsidP="001456FA">
            <w:pPr>
              <w:rPr>
                <w:rFonts w:ascii="Arial" w:hAnsi="Arial" w:cs="Arial"/>
                <w:sz w:val="20"/>
                <w:szCs w:val="20"/>
              </w:rPr>
            </w:pPr>
            <w:r w:rsidRPr="00EF34F1">
              <w:rPr>
                <w:rFonts w:ascii="Arial" w:hAnsi="Arial" w:cs="Arial"/>
                <w:i/>
                <w:iCs/>
                <w:sz w:val="20"/>
                <w:szCs w:val="20"/>
              </w:rPr>
              <w:t>If the couple marry or register a civil partnership, they</w:t>
            </w:r>
            <w:r w:rsidR="00E81170">
              <w:rPr>
                <w:rFonts w:ascii="Arial" w:hAnsi="Arial" w:cs="Arial"/>
                <w:i/>
                <w:iCs/>
                <w:sz w:val="20"/>
                <w:szCs w:val="20"/>
              </w:rPr>
              <w:t xml:space="preserve"> wi</w:t>
            </w:r>
            <w:r w:rsidRPr="00EF34F1">
              <w:rPr>
                <w:rFonts w:ascii="Arial" w:hAnsi="Arial" w:cs="Arial"/>
                <w:i/>
                <w:iCs/>
                <w:sz w:val="20"/>
                <w:szCs w:val="20"/>
              </w:rPr>
              <w:t>ll get the allowance on a pro-rata basis for the rest of that tax year. If one of them dies</w:t>
            </w:r>
            <w:r w:rsidR="00AB0BBC">
              <w:rPr>
                <w:rFonts w:ascii="Arial" w:hAnsi="Arial" w:cs="Arial"/>
                <w:i/>
                <w:iCs/>
                <w:sz w:val="20"/>
                <w:szCs w:val="20"/>
              </w:rPr>
              <w:t xml:space="preserve"> or</w:t>
            </w:r>
            <w:r w:rsidRPr="00EF34F1">
              <w:rPr>
                <w:rFonts w:ascii="Arial" w:hAnsi="Arial" w:cs="Arial"/>
                <w:i/>
                <w:iCs/>
                <w:sz w:val="20"/>
                <w:szCs w:val="20"/>
              </w:rPr>
              <w:t xml:space="preserve"> there is a divorce or separation, the allowance continues until the end of the tax year.</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National insurance</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881553">
            <w:pPr>
              <w:jc w:val="right"/>
              <w:rPr>
                <w:rFonts w:ascii="Arial" w:hAnsi="Arial" w:cs="Arial"/>
                <w:b/>
                <w:bCs/>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881553">
            <w:pPr>
              <w:jc w:val="right"/>
              <w:rPr>
                <w:rFonts w:ascii="Arial" w:hAnsi="Arial" w:cs="Arial"/>
                <w:b/>
                <w:bCs/>
                <w:sz w:val="20"/>
                <w:szCs w:val="20"/>
              </w:rPr>
            </w:pPr>
            <w:r w:rsidRPr="00EF34F1">
              <w:rPr>
                <w:rFonts w:ascii="Arial" w:hAnsi="Arial" w:cs="Arial"/>
                <w:b/>
                <w:bCs/>
                <w:sz w:val="20"/>
                <w:szCs w:val="20"/>
              </w:rPr>
              <w:t> </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Lower earnings limit, primary </w:t>
            </w:r>
            <w:r w:rsidR="00881553">
              <w:rPr>
                <w:rFonts w:ascii="Arial" w:hAnsi="Arial" w:cs="Arial"/>
                <w:sz w:val="20"/>
                <w:szCs w:val="20"/>
              </w:rPr>
              <w:t>c</w:t>
            </w:r>
            <w:r w:rsidRPr="00EF34F1">
              <w:rPr>
                <w:rFonts w:ascii="Arial" w:hAnsi="Arial" w:cs="Arial"/>
                <w:sz w:val="20"/>
                <w:szCs w:val="20"/>
              </w:rPr>
              <w:t>lass 1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118</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w:t>
            </w:r>
            <w:r w:rsidR="00881553">
              <w:rPr>
                <w:rFonts w:ascii="Arial" w:hAnsi="Arial" w:cs="Arial"/>
                <w:sz w:val="20"/>
                <w:szCs w:val="20"/>
              </w:rPr>
              <w:t>£</w:t>
            </w:r>
            <w:r w:rsidRPr="00EF34F1">
              <w:rPr>
                <w:rFonts w:ascii="Arial" w:hAnsi="Arial" w:cs="Arial"/>
                <w:sz w:val="20"/>
                <w:szCs w:val="20"/>
              </w:rPr>
              <w:t>120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Upper earnings limit, primary </w:t>
            </w:r>
            <w:r w:rsidR="00881553">
              <w:rPr>
                <w:rFonts w:ascii="Arial" w:hAnsi="Arial" w:cs="Arial"/>
                <w:sz w:val="20"/>
                <w:szCs w:val="20"/>
              </w:rPr>
              <w:t>c</w:t>
            </w:r>
            <w:r w:rsidRPr="00EF34F1">
              <w:rPr>
                <w:rFonts w:ascii="Arial" w:hAnsi="Arial" w:cs="Arial"/>
                <w:sz w:val="20"/>
                <w:szCs w:val="20"/>
              </w:rPr>
              <w:t>lass 1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962</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w:t>
            </w:r>
            <w:r w:rsidR="00881553">
              <w:rPr>
                <w:rFonts w:ascii="Arial" w:hAnsi="Arial" w:cs="Arial"/>
                <w:sz w:val="20"/>
                <w:szCs w:val="20"/>
              </w:rPr>
              <w:t>£</w:t>
            </w:r>
            <w:r w:rsidRPr="00EF34F1">
              <w:rPr>
                <w:rFonts w:ascii="Arial" w:hAnsi="Arial" w:cs="Arial"/>
                <w:sz w:val="20"/>
                <w:szCs w:val="20"/>
              </w:rPr>
              <w:t>962</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Apprentice upper secondary threshold (AUST) for under 21s/25s</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962</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w:t>
            </w:r>
            <w:r w:rsidR="00881553">
              <w:rPr>
                <w:rFonts w:ascii="Arial" w:hAnsi="Arial" w:cs="Arial"/>
                <w:sz w:val="20"/>
                <w:szCs w:val="20"/>
              </w:rPr>
              <w:t>£</w:t>
            </w:r>
            <w:r w:rsidRPr="00EF34F1">
              <w:rPr>
                <w:rFonts w:ascii="Arial" w:hAnsi="Arial" w:cs="Arial"/>
                <w:sz w:val="20"/>
                <w:szCs w:val="20"/>
              </w:rPr>
              <w:t>962</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Primary threshold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166</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183</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Secondary threshold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166</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w:t>
            </w:r>
            <w:r w:rsidR="00881553">
              <w:rPr>
                <w:rFonts w:ascii="Arial" w:hAnsi="Arial" w:cs="Arial"/>
                <w:sz w:val="20"/>
                <w:szCs w:val="20"/>
              </w:rPr>
              <w:t>£</w:t>
            </w:r>
            <w:r w:rsidRPr="00EF34F1">
              <w:rPr>
                <w:rFonts w:ascii="Arial" w:hAnsi="Arial" w:cs="Arial"/>
                <w:sz w:val="20"/>
                <w:szCs w:val="20"/>
              </w:rPr>
              <w:t>169</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0C4D6F">
            <w:pPr>
              <w:rPr>
                <w:rFonts w:ascii="Arial" w:hAnsi="Arial" w:cs="Arial"/>
                <w:sz w:val="20"/>
                <w:szCs w:val="20"/>
              </w:rPr>
            </w:pPr>
            <w:r w:rsidRPr="00EF34F1">
              <w:rPr>
                <w:rFonts w:ascii="Arial" w:hAnsi="Arial" w:cs="Arial"/>
                <w:sz w:val="20"/>
                <w:szCs w:val="20"/>
              </w:rPr>
              <w:t xml:space="preserve">Employment allowance (per year/employer) </w:t>
            </w:r>
            <w:r w:rsidR="00A40C34">
              <w:rPr>
                <w:rFonts w:ascii="Arial" w:hAnsi="Arial" w:cs="Arial"/>
                <w:sz w:val="20"/>
                <w:szCs w:val="20"/>
              </w:rPr>
              <w:t>(n</w:t>
            </w:r>
            <w:r w:rsidRPr="00EF34F1">
              <w:rPr>
                <w:rFonts w:ascii="Arial" w:hAnsi="Arial" w:cs="Arial"/>
                <w:sz w:val="20"/>
                <w:szCs w:val="20"/>
              </w:rPr>
              <w:t>ote 1</w:t>
            </w:r>
            <w:r w:rsidR="00A40C34">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3,000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881553" w:rsidP="00881553">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4,000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Employee</w:t>
            </w:r>
            <w:r w:rsidR="003265BA">
              <w:rPr>
                <w:rFonts w:ascii="Arial" w:hAnsi="Arial" w:cs="Arial"/>
                <w:sz w:val="20"/>
                <w:szCs w:val="20"/>
              </w:rPr>
              <w:t>’</w:t>
            </w:r>
            <w:r w:rsidRPr="00EF34F1">
              <w:rPr>
                <w:rFonts w:ascii="Arial" w:hAnsi="Arial" w:cs="Arial"/>
                <w:sz w:val="20"/>
                <w:szCs w:val="20"/>
              </w:rPr>
              <w:t xml:space="preserve">s primary </w:t>
            </w:r>
            <w:r w:rsidR="003265BA">
              <w:rPr>
                <w:rFonts w:ascii="Arial" w:hAnsi="Arial" w:cs="Arial"/>
                <w:sz w:val="20"/>
                <w:szCs w:val="20"/>
              </w:rPr>
              <w:t>c</w:t>
            </w:r>
            <w:r w:rsidRPr="00EF34F1">
              <w:rPr>
                <w:rFonts w:ascii="Arial" w:hAnsi="Arial" w:cs="Arial"/>
                <w:sz w:val="20"/>
                <w:szCs w:val="20"/>
              </w:rPr>
              <w:t>lass 1 rate between primary threshold and upper earnings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12%</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12%</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Employee</w:t>
            </w:r>
            <w:r w:rsidR="003265BA">
              <w:rPr>
                <w:rFonts w:ascii="Arial" w:hAnsi="Arial" w:cs="Arial"/>
                <w:sz w:val="20"/>
                <w:szCs w:val="20"/>
              </w:rPr>
              <w:t>’</w:t>
            </w:r>
            <w:r w:rsidRPr="00EF34F1">
              <w:rPr>
                <w:rFonts w:ascii="Arial" w:hAnsi="Arial" w:cs="Arial"/>
                <w:sz w:val="20"/>
                <w:szCs w:val="20"/>
              </w:rPr>
              <w:t xml:space="preserve">s primary </w:t>
            </w:r>
            <w:r w:rsidR="003265BA">
              <w:rPr>
                <w:rFonts w:ascii="Arial" w:hAnsi="Arial" w:cs="Arial"/>
                <w:sz w:val="20"/>
                <w:szCs w:val="20"/>
              </w:rPr>
              <w:t>c</w:t>
            </w:r>
            <w:r w:rsidRPr="00EF34F1">
              <w:rPr>
                <w:rFonts w:ascii="Arial" w:hAnsi="Arial" w:cs="Arial"/>
                <w:sz w:val="20"/>
                <w:szCs w:val="20"/>
              </w:rPr>
              <w:t>lass 1 rate above upper earnings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2%</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Married woman</w:t>
            </w:r>
            <w:r w:rsidR="00DA3C58">
              <w:rPr>
                <w:rFonts w:ascii="Arial" w:hAnsi="Arial" w:cs="Arial"/>
                <w:sz w:val="20"/>
                <w:szCs w:val="20"/>
              </w:rPr>
              <w:t>’</w:t>
            </w:r>
            <w:r w:rsidRPr="00EF34F1">
              <w:rPr>
                <w:rFonts w:ascii="Arial" w:hAnsi="Arial" w:cs="Arial"/>
                <w:sz w:val="20"/>
                <w:szCs w:val="20"/>
              </w:rPr>
              <w:t>s reduced rate between primary threshold and upper earnings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5.85%</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5.85%</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Married woman</w:t>
            </w:r>
            <w:r w:rsidR="00DA3C58">
              <w:rPr>
                <w:rFonts w:ascii="Arial" w:hAnsi="Arial" w:cs="Arial"/>
                <w:sz w:val="20"/>
                <w:szCs w:val="20"/>
              </w:rPr>
              <w:t>’</w:t>
            </w:r>
            <w:r w:rsidRPr="00EF34F1">
              <w:rPr>
                <w:rFonts w:ascii="Arial" w:hAnsi="Arial" w:cs="Arial"/>
                <w:sz w:val="20"/>
                <w:szCs w:val="20"/>
              </w:rPr>
              <w:t>s rate above upper earnings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2.00%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2.00%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Employer's secondary </w:t>
            </w:r>
            <w:r w:rsidR="00EB19B7">
              <w:rPr>
                <w:rFonts w:ascii="Arial" w:hAnsi="Arial" w:cs="Arial"/>
                <w:sz w:val="20"/>
                <w:szCs w:val="20"/>
              </w:rPr>
              <w:t>c</w:t>
            </w:r>
            <w:r w:rsidRPr="00EF34F1">
              <w:rPr>
                <w:rFonts w:ascii="Arial" w:hAnsi="Arial" w:cs="Arial"/>
                <w:sz w:val="20"/>
                <w:szCs w:val="20"/>
              </w:rPr>
              <w:t>lass 1 rate above secondary threshold</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13.80%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881553">
            <w:pPr>
              <w:jc w:val="right"/>
              <w:rPr>
                <w:rFonts w:ascii="Arial" w:hAnsi="Arial" w:cs="Arial"/>
                <w:sz w:val="20"/>
                <w:szCs w:val="20"/>
              </w:rPr>
            </w:pPr>
            <w:r w:rsidRPr="00EF34F1">
              <w:rPr>
                <w:rFonts w:ascii="Arial" w:hAnsi="Arial" w:cs="Arial"/>
                <w:sz w:val="20"/>
                <w:szCs w:val="20"/>
              </w:rPr>
              <w:t> 13.80%</w:t>
            </w:r>
          </w:p>
        </w:tc>
      </w:tr>
      <w:tr w:rsidR="00157C29"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157C29" w:rsidRPr="00EF34F1" w:rsidRDefault="00157C29" w:rsidP="00361A8F">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157C29" w:rsidRPr="00EF34F1" w:rsidRDefault="00157C29" w:rsidP="00361A8F">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157C29" w:rsidRPr="00EF34F1" w:rsidRDefault="00157C29" w:rsidP="00361A8F">
            <w:pPr>
              <w:jc w:val="right"/>
              <w:rPr>
                <w:rFonts w:ascii="Arial" w:hAnsi="Arial" w:cs="Arial"/>
                <w:b/>
                <w:bCs/>
                <w:sz w:val="24"/>
                <w:szCs w:val="24"/>
              </w:rPr>
            </w:pPr>
            <w:r w:rsidRPr="00EF34F1">
              <w:rPr>
                <w:rFonts w:ascii="Arial" w:hAnsi="Arial" w:cs="Arial"/>
                <w:b/>
                <w:bCs/>
                <w:sz w:val="24"/>
                <w:szCs w:val="24"/>
              </w:rPr>
              <w:t>2020/21</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vAlign w:val="bottom"/>
          </w:tcPr>
          <w:p w:rsidR="00450938" w:rsidRPr="00EF34F1" w:rsidRDefault="00450938" w:rsidP="00713DF7">
            <w:pPr>
              <w:rPr>
                <w:rFonts w:ascii="Arial" w:hAnsi="Arial" w:cs="Arial"/>
                <w:sz w:val="20"/>
                <w:szCs w:val="20"/>
                <w:lang w:eastAsia="en-GB"/>
              </w:rPr>
            </w:pPr>
            <w:r w:rsidRPr="00EF34F1">
              <w:rPr>
                <w:rFonts w:ascii="Arial" w:hAnsi="Arial" w:cs="Arial"/>
                <w:sz w:val="20"/>
                <w:szCs w:val="20"/>
                <w:lang w:eastAsia="en-GB"/>
              </w:rPr>
              <w:t xml:space="preserve">Class 2 rate (per week where profits are above small profits threshold) </w:t>
            </w:r>
          </w:p>
        </w:tc>
        <w:tc>
          <w:tcPr>
            <w:tcW w:w="1842" w:type="dxa"/>
            <w:tcBorders>
              <w:top w:val="single" w:sz="4" w:space="0" w:color="auto"/>
              <w:left w:val="single" w:sz="4" w:space="0" w:color="auto"/>
              <w:bottom w:val="single" w:sz="4" w:space="0" w:color="auto"/>
              <w:right w:val="single" w:sz="4" w:space="0" w:color="auto"/>
            </w:tcBorders>
            <w:noWrap/>
          </w:tcPr>
          <w:p w:rsidR="00450938" w:rsidRPr="00EF34F1" w:rsidRDefault="00450938" w:rsidP="00157C29">
            <w:pPr>
              <w:jc w:val="right"/>
              <w:rPr>
                <w:rFonts w:ascii="Arial" w:hAnsi="Arial" w:cs="Arial"/>
                <w:sz w:val="20"/>
                <w:szCs w:val="20"/>
              </w:rPr>
            </w:pPr>
          </w:p>
          <w:p w:rsidR="00450938" w:rsidRPr="00EF34F1" w:rsidRDefault="00450938" w:rsidP="00157C29">
            <w:pPr>
              <w:jc w:val="right"/>
              <w:rPr>
                <w:rFonts w:ascii="Arial" w:hAnsi="Arial" w:cs="Arial"/>
                <w:sz w:val="20"/>
                <w:szCs w:val="20"/>
              </w:rPr>
            </w:pPr>
            <w:r w:rsidRPr="00EF34F1">
              <w:rPr>
                <w:rFonts w:ascii="Arial" w:hAnsi="Arial" w:cs="Arial"/>
                <w:sz w:val="20"/>
                <w:szCs w:val="20"/>
              </w:rPr>
              <w:t>3.00</w:t>
            </w:r>
            <w:r w:rsidR="00157C29">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vAlign w:val="bottom"/>
          </w:tcPr>
          <w:p w:rsidR="00450938" w:rsidRPr="00EF34F1" w:rsidRDefault="00450938" w:rsidP="00157C29">
            <w:pPr>
              <w:jc w:val="right"/>
              <w:rPr>
                <w:rFonts w:ascii="Arial" w:hAnsi="Arial" w:cs="Arial"/>
                <w:sz w:val="20"/>
                <w:szCs w:val="20"/>
              </w:rPr>
            </w:pPr>
            <w:r w:rsidRPr="00EF34F1">
              <w:rPr>
                <w:rFonts w:ascii="Arial" w:hAnsi="Arial" w:cs="Arial"/>
                <w:sz w:val="20"/>
                <w:szCs w:val="20"/>
              </w:rPr>
              <w:t>3.05</w:t>
            </w:r>
            <w:r w:rsidR="00157C29">
              <w:rPr>
                <w:rFonts w:ascii="Arial" w:hAnsi="Arial" w:cs="Arial"/>
                <w:sz w:val="20"/>
                <w:szCs w:val="20"/>
              </w:rPr>
              <w:t>%</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vAlign w:val="bottom"/>
          </w:tcPr>
          <w:p w:rsidR="00450938" w:rsidRPr="00EF34F1" w:rsidRDefault="00450938" w:rsidP="00713DF7">
            <w:pPr>
              <w:rPr>
                <w:rFonts w:ascii="Arial" w:hAnsi="Arial" w:cs="Arial"/>
                <w:sz w:val="20"/>
                <w:szCs w:val="20"/>
                <w:lang w:eastAsia="en-GB"/>
              </w:rPr>
            </w:pPr>
            <w:r w:rsidRPr="00EF34F1">
              <w:rPr>
                <w:rFonts w:ascii="Arial" w:hAnsi="Arial" w:cs="Arial"/>
                <w:sz w:val="20"/>
                <w:szCs w:val="20"/>
                <w:lang w:eastAsia="en-GB"/>
              </w:rPr>
              <w:t xml:space="preserve">Class 2 small profits threshold (per year) </w:t>
            </w:r>
          </w:p>
        </w:tc>
        <w:tc>
          <w:tcPr>
            <w:tcW w:w="1842" w:type="dxa"/>
            <w:tcBorders>
              <w:top w:val="single" w:sz="4" w:space="0" w:color="auto"/>
              <w:left w:val="single" w:sz="4" w:space="0" w:color="auto"/>
              <w:bottom w:val="single" w:sz="4" w:space="0" w:color="auto"/>
              <w:right w:val="single" w:sz="4" w:space="0" w:color="auto"/>
            </w:tcBorders>
            <w:noWrap/>
          </w:tcPr>
          <w:p w:rsidR="00450938" w:rsidRPr="00EF34F1" w:rsidRDefault="00157C29" w:rsidP="00157C29">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6,365</w:t>
            </w:r>
          </w:p>
        </w:tc>
        <w:tc>
          <w:tcPr>
            <w:tcW w:w="1700" w:type="dxa"/>
            <w:tcBorders>
              <w:top w:val="single" w:sz="4" w:space="0" w:color="auto"/>
              <w:left w:val="single" w:sz="4" w:space="0" w:color="auto"/>
              <w:bottom w:val="single" w:sz="4" w:space="0" w:color="auto"/>
              <w:right w:val="single" w:sz="4" w:space="0" w:color="auto"/>
            </w:tcBorders>
            <w:noWrap/>
          </w:tcPr>
          <w:p w:rsidR="00450938" w:rsidRPr="00EF34F1" w:rsidRDefault="00157C29" w:rsidP="00157C29">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6,475</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Special </w:t>
            </w:r>
            <w:r w:rsidR="006A1492">
              <w:rPr>
                <w:rFonts w:ascii="Arial" w:hAnsi="Arial" w:cs="Arial"/>
                <w:sz w:val="20"/>
                <w:szCs w:val="20"/>
              </w:rPr>
              <w:t>c</w:t>
            </w:r>
            <w:r w:rsidRPr="00EF34F1">
              <w:rPr>
                <w:rFonts w:ascii="Arial" w:hAnsi="Arial" w:cs="Arial"/>
                <w:sz w:val="20"/>
                <w:szCs w:val="20"/>
              </w:rPr>
              <w:t>lass 2 rate for share fishermen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3.65</w:t>
            </w:r>
            <w:r w:rsidR="00157C29">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5C7810" w:rsidRDefault="00450938" w:rsidP="00157C29">
            <w:pPr>
              <w:jc w:val="right"/>
              <w:rPr>
                <w:rFonts w:ascii="Arial" w:hAnsi="Arial" w:cs="Arial"/>
                <w:b/>
                <w:sz w:val="20"/>
                <w:szCs w:val="20"/>
              </w:rPr>
            </w:pPr>
            <w:r w:rsidRPr="00EF34F1">
              <w:rPr>
                <w:rFonts w:ascii="Arial" w:hAnsi="Arial" w:cs="Arial"/>
                <w:sz w:val="20"/>
                <w:szCs w:val="20"/>
              </w:rPr>
              <w:t> 3.70</w:t>
            </w:r>
            <w:r w:rsidR="00157C29">
              <w:rPr>
                <w:rFonts w:ascii="Arial" w:hAnsi="Arial" w:cs="Arial"/>
                <w:sz w:val="20"/>
                <w:szCs w:val="20"/>
              </w:rPr>
              <w:t>%</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Special </w:t>
            </w:r>
            <w:r w:rsidR="006A1492">
              <w:rPr>
                <w:rFonts w:ascii="Arial" w:hAnsi="Arial" w:cs="Arial"/>
                <w:sz w:val="20"/>
                <w:szCs w:val="20"/>
              </w:rPr>
              <w:t>c</w:t>
            </w:r>
            <w:r w:rsidRPr="00EF34F1">
              <w:rPr>
                <w:rFonts w:ascii="Arial" w:hAnsi="Arial" w:cs="Arial"/>
                <w:sz w:val="20"/>
                <w:szCs w:val="20"/>
              </w:rPr>
              <w:t>lass 2 rate for volunteer development workers</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5.90</w:t>
            </w:r>
            <w:r w:rsidR="00157C29">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5C7810" w:rsidRDefault="00450938" w:rsidP="00157C29">
            <w:pPr>
              <w:jc w:val="right"/>
              <w:rPr>
                <w:rFonts w:ascii="Arial" w:hAnsi="Arial" w:cs="Arial"/>
                <w:b/>
                <w:sz w:val="20"/>
                <w:szCs w:val="20"/>
              </w:rPr>
            </w:pPr>
            <w:r w:rsidRPr="00EF34F1">
              <w:rPr>
                <w:rFonts w:ascii="Arial" w:hAnsi="Arial" w:cs="Arial"/>
                <w:sz w:val="20"/>
                <w:szCs w:val="20"/>
              </w:rPr>
              <w:t> 6.00</w:t>
            </w:r>
            <w:r w:rsidR="00157C29">
              <w:rPr>
                <w:rFonts w:ascii="Arial" w:hAnsi="Arial" w:cs="Arial"/>
                <w:sz w:val="20"/>
                <w:szCs w:val="20"/>
              </w:rPr>
              <w:t>%</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Class 3 voluntary rate (per week)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15.00</w:t>
            </w:r>
            <w:r w:rsidR="00157C29">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 15.30</w:t>
            </w:r>
            <w:r w:rsidR="00157C29">
              <w:rPr>
                <w:rFonts w:ascii="Arial" w:hAnsi="Arial" w:cs="Arial"/>
                <w:sz w:val="20"/>
                <w:szCs w:val="20"/>
              </w:rPr>
              <w:t>%</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Class 4 lower profits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8,632</w:t>
            </w:r>
            <w:r w:rsidR="00157C29">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 9,500</w:t>
            </w:r>
            <w:r w:rsidR="00157C29">
              <w:rPr>
                <w:rFonts w:ascii="Arial" w:hAnsi="Arial" w:cs="Arial"/>
                <w:sz w:val="20"/>
                <w:szCs w:val="20"/>
              </w:rPr>
              <w:t>%</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Class 4 upper profits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157C29" w:rsidP="00157C29">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50,000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 </w:t>
            </w:r>
            <w:r w:rsidR="00157C29">
              <w:rPr>
                <w:rFonts w:ascii="Arial" w:hAnsi="Arial" w:cs="Arial"/>
                <w:sz w:val="20"/>
                <w:szCs w:val="20"/>
              </w:rPr>
              <w:t>£</w:t>
            </w:r>
            <w:r w:rsidRPr="00EF34F1">
              <w:rPr>
                <w:rFonts w:ascii="Arial" w:hAnsi="Arial" w:cs="Arial"/>
                <w:sz w:val="20"/>
                <w:szCs w:val="20"/>
              </w:rPr>
              <w:t>50,000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Class 4 rate between lower profits limit and upper profits limit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9.00%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 9.00%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Class 4 rate above upper profits limit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2.00%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157C29">
            <w:pPr>
              <w:jc w:val="right"/>
              <w:rPr>
                <w:rFonts w:ascii="Arial" w:hAnsi="Arial" w:cs="Arial"/>
                <w:sz w:val="20"/>
                <w:szCs w:val="20"/>
              </w:rPr>
            </w:pPr>
            <w:r w:rsidRPr="00EF34F1">
              <w:rPr>
                <w:rFonts w:ascii="Arial" w:hAnsi="Arial" w:cs="Arial"/>
                <w:sz w:val="20"/>
                <w:szCs w:val="20"/>
              </w:rPr>
              <w:t> 2.00%</w:t>
            </w:r>
          </w:p>
        </w:tc>
      </w:tr>
      <w:tr w:rsidR="001456FA" w:rsidRPr="00EF34F1" w:rsidTr="004637DA">
        <w:trPr>
          <w:trHeight w:val="330"/>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9F0B43" w:rsidRDefault="001456FA" w:rsidP="001456FA">
            <w:pPr>
              <w:rPr>
                <w:rFonts w:ascii="Arial" w:hAnsi="Arial" w:cs="Arial"/>
                <w:i/>
                <w:iCs/>
                <w:sz w:val="20"/>
                <w:szCs w:val="20"/>
              </w:rPr>
            </w:pPr>
            <w:r w:rsidRPr="009F0B43">
              <w:rPr>
                <w:rFonts w:ascii="Arial" w:hAnsi="Arial" w:cs="Arial"/>
                <w:i/>
                <w:iCs/>
                <w:sz w:val="20"/>
                <w:szCs w:val="20"/>
              </w:rPr>
              <w:t xml:space="preserve">Note 1: </w:t>
            </w:r>
          </w:p>
          <w:p w:rsidR="001456FA" w:rsidRPr="00EF34F1" w:rsidRDefault="001456FA" w:rsidP="00AA0675">
            <w:pPr>
              <w:numPr>
                <w:ilvl w:val="0"/>
                <w:numId w:val="5"/>
              </w:numPr>
              <w:ind w:left="308" w:hanging="284"/>
              <w:rPr>
                <w:rFonts w:ascii="Arial" w:hAnsi="Arial" w:cs="Arial"/>
                <w:i/>
                <w:sz w:val="20"/>
                <w:szCs w:val="20"/>
              </w:rPr>
            </w:pPr>
            <w:r w:rsidRPr="005C7810">
              <w:rPr>
                <w:rFonts w:ascii="Arial" w:hAnsi="Arial" w:cs="Arial"/>
                <w:i/>
                <w:sz w:val="20"/>
                <w:szCs w:val="20"/>
              </w:rPr>
              <w:t>From April 2020, this will be limited to employers with an employer NIC bill below £100,000 in the previous tax year.</w:t>
            </w:r>
          </w:p>
          <w:p w:rsidR="001456FA" w:rsidRPr="00EF34F1" w:rsidRDefault="001456FA" w:rsidP="00AA0675">
            <w:pPr>
              <w:numPr>
                <w:ilvl w:val="0"/>
                <w:numId w:val="5"/>
              </w:numPr>
              <w:ind w:left="308" w:hanging="284"/>
              <w:rPr>
                <w:rFonts w:ascii="Arial" w:hAnsi="Arial" w:cs="Arial"/>
                <w:i/>
                <w:sz w:val="20"/>
                <w:szCs w:val="20"/>
              </w:rPr>
            </w:pPr>
            <w:r w:rsidRPr="005C7810">
              <w:rPr>
                <w:rFonts w:ascii="Arial" w:hAnsi="Arial" w:cs="Arial"/>
                <w:i/>
                <w:sz w:val="20"/>
                <w:szCs w:val="20"/>
              </w:rPr>
              <w:t xml:space="preserve">Any deemed payments made to off-payroll workers do not count towards the £100,000 employers (secondary) </w:t>
            </w:r>
            <w:r w:rsidR="00684DCD">
              <w:rPr>
                <w:rFonts w:ascii="Arial" w:hAnsi="Arial" w:cs="Arial"/>
                <w:i/>
                <w:sz w:val="20"/>
                <w:szCs w:val="20"/>
              </w:rPr>
              <w:t>c</w:t>
            </w:r>
            <w:r w:rsidRPr="005C7810">
              <w:rPr>
                <w:rFonts w:ascii="Arial" w:hAnsi="Arial" w:cs="Arial"/>
                <w:i/>
                <w:sz w:val="20"/>
                <w:szCs w:val="20"/>
              </w:rPr>
              <w:t>lass 1 NICs total. You cannot claim </w:t>
            </w:r>
            <w:r w:rsidR="00684DCD">
              <w:rPr>
                <w:rFonts w:ascii="Arial" w:hAnsi="Arial" w:cs="Arial"/>
                <w:i/>
                <w:sz w:val="20"/>
                <w:szCs w:val="20"/>
              </w:rPr>
              <w:t>employment allowance</w:t>
            </w:r>
            <w:r w:rsidRPr="005C7810">
              <w:rPr>
                <w:rFonts w:ascii="Arial" w:hAnsi="Arial" w:cs="Arial"/>
                <w:i/>
                <w:sz w:val="20"/>
                <w:szCs w:val="20"/>
              </w:rPr>
              <w:t> for these workers.</w:t>
            </w:r>
          </w:p>
          <w:p w:rsidR="001456FA" w:rsidRPr="00EF34F1" w:rsidRDefault="001456FA" w:rsidP="00AA0675">
            <w:pPr>
              <w:numPr>
                <w:ilvl w:val="0"/>
                <w:numId w:val="5"/>
              </w:numPr>
              <w:ind w:left="308" w:hanging="284"/>
              <w:rPr>
                <w:rFonts w:ascii="Arial" w:hAnsi="Arial" w:cs="Arial"/>
                <w:sz w:val="20"/>
                <w:szCs w:val="20"/>
              </w:rPr>
            </w:pPr>
            <w:r w:rsidRPr="005C7810">
              <w:rPr>
                <w:rFonts w:ascii="Arial" w:hAnsi="Arial" w:cs="Arial"/>
                <w:i/>
                <w:sz w:val="20"/>
                <w:szCs w:val="20"/>
              </w:rPr>
              <w:t>Employment allowance ca</w:t>
            </w:r>
            <w:r w:rsidR="009C76B1">
              <w:rPr>
                <w:rFonts w:ascii="Arial" w:hAnsi="Arial" w:cs="Arial"/>
                <w:i/>
                <w:sz w:val="20"/>
                <w:szCs w:val="20"/>
              </w:rPr>
              <w:t>n</w:t>
            </w:r>
            <w:r w:rsidRPr="00EF34F1">
              <w:rPr>
                <w:rFonts w:ascii="Arial" w:hAnsi="Arial" w:cs="Arial"/>
                <w:i/>
                <w:sz w:val="20"/>
                <w:szCs w:val="20"/>
              </w:rPr>
              <w:t xml:space="preserve">not </w:t>
            </w:r>
            <w:r w:rsidRPr="005C7810">
              <w:rPr>
                <w:rFonts w:ascii="Arial" w:hAnsi="Arial" w:cs="Arial"/>
                <w:i/>
                <w:sz w:val="20"/>
                <w:szCs w:val="20"/>
              </w:rPr>
              <w:t xml:space="preserve">be claimed for off-payroll workers. </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Pensions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9C76B1">
            <w:pPr>
              <w:jc w:val="right"/>
              <w:rPr>
                <w:rFonts w:ascii="Arial" w:hAnsi="Arial" w:cs="Arial"/>
                <w:b/>
                <w:bCs/>
                <w:sz w:val="20"/>
                <w:szCs w:val="20"/>
              </w:rPr>
            </w:pPr>
            <w:r w:rsidRPr="00EF34F1">
              <w:rPr>
                <w:rFonts w:ascii="Arial" w:hAnsi="Arial" w:cs="Arial"/>
                <w:b/>
                <w:bCs/>
                <w:sz w:val="20"/>
                <w:szCs w:val="20"/>
              </w:rPr>
              <w:t> </w:t>
            </w:r>
            <w:r w:rsidR="009C76B1">
              <w:rPr>
                <w:rFonts w:ascii="Arial" w:hAnsi="Arial" w:cs="Arial"/>
                <w:b/>
                <w:bCs/>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9C76B1">
            <w:pPr>
              <w:jc w:val="right"/>
              <w:rPr>
                <w:rFonts w:ascii="Arial" w:hAnsi="Arial" w:cs="Arial"/>
                <w:b/>
                <w:bCs/>
                <w:sz w:val="20"/>
                <w:szCs w:val="20"/>
              </w:rPr>
            </w:pPr>
            <w:r w:rsidRPr="00EF34F1">
              <w:rPr>
                <w:rFonts w:ascii="Arial" w:hAnsi="Arial" w:cs="Arial"/>
                <w:b/>
                <w:bCs/>
                <w:sz w:val="20"/>
                <w:szCs w:val="20"/>
              </w:rPr>
              <w:t> </w:t>
            </w:r>
            <w:r w:rsidR="009C76B1">
              <w:rPr>
                <w:rFonts w:ascii="Arial" w:hAnsi="Arial" w:cs="Arial"/>
                <w:b/>
                <w:bCs/>
                <w:sz w:val="20"/>
                <w:szCs w:val="20"/>
              </w:rPr>
              <w:t>£</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Annual allowance </w:t>
            </w:r>
            <w:r w:rsidR="009C76B1">
              <w:rPr>
                <w:rFonts w:ascii="Arial" w:hAnsi="Arial" w:cs="Arial"/>
                <w:sz w:val="20"/>
                <w:szCs w:val="20"/>
              </w:rPr>
              <w:t>(</w:t>
            </w:r>
            <w:r w:rsidRPr="00EF34F1">
              <w:rPr>
                <w:rFonts w:ascii="Arial" w:hAnsi="Arial" w:cs="Arial"/>
                <w:sz w:val="20"/>
                <w:szCs w:val="20"/>
              </w:rPr>
              <w:t>note 1</w:t>
            </w:r>
            <w:r w:rsidR="009C76B1">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C76B1">
            <w:pPr>
              <w:jc w:val="right"/>
              <w:rPr>
                <w:rFonts w:ascii="Arial" w:hAnsi="Arial" w:cs="Arial"/>
                <w:sz w:val="20"/>
                <w:szCs w:val="20"/>
              </w:rPr>
            </w:pPr>
            <w:r w:rsidRPr="00EF34F1">
              <w:rPr>
                <w:rFonts w:ascii="Arial" w:hAnsi="Arial" w:cs="Arial"/>
                <w:sz w:val="20"/>
                <w:szCs w:val="20"/>
              </w:rPr>
              <w:t>40,000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C76B1">
            <w:pPr>
              <w:jc w:val="right"/>
              <w:rPr>
                <w:rFonts w:ascii="Arial" w:hAnsi="Arial" w:cs="Arial"/>
                <w:sz w:val="20"/>
                <w:szCs w:val="20"/>
              </w:rPr>
            </w:pPr>
            <w:r w:rsidRPr="00EF34F1">
              <w:rPr>
                <w:rFonts w:ascii="Arial" w:hAnsi="Arial" w:cs="Arial"/>
                <w:sz w:val="20"/>
                <w:szCs w:val="20"/>
              </w:rPr>
              <w:t>40,000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Lifetime allowance</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C76B1">
            <w:pPr>
              <w:jc w:val="right"/>
              <w:rPr>
                <w:rFonts w:ascii="Arial" w:hAnsi="Arial" w:cs="Arial"/>
                <w:sz w:val="20"/>
                <w:szCs w:val="20"/>
              </w:rPr>
            </w:pPr>
            <w:r w:rsidRPr="00EF34F1">
              <w:rPr>
                <w:rFonts w:ascii="Arial" w:hAnsi="Arial" w:cs="Arial"/>
                <w:sz w:val="20"/>
                <w:szCs w:val="20"/>
              </w:rPr>
              <w:t>1,055,000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C76B1">
            <w:pPr>
              <w:jc w:val="right"/>
              <w:rPr>
                <w:rFonts w:ascii="Arial" w:hAnsi="Arial" w:cs="Arial"/>
                <w:sz w:val="20"/>
                <w:szCs w:val="20"/>
              </w:rPr>
            </w:pPr>
            <w:r w:rsidRPr="00EF34F1">
              <w:rPr>
                <w:rFonts w:ascii="Arial" w:hAnsi="Arial" w:cs="Arial"/>
                <w:sz w:val="20"/>
                <w:szCs w:val="20"/>
              </w:rPr>
              <w:t> 1,073,100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35D9B">
            <w:pPr>
              <w:rPr>
                <w:rFonts w:ascii="Arial" w:hAnsi="Arial" w:cs="Arial"/>
                <w:sz w:val="20"/>
                <w:szCs w:val="20"/>
              </w:rPr>
            </w:pPr>
            <w:r w:rsidRPr="00EF34F1">
              <w:rPr>
                <w:rFonts w:ascii="Arial" w:hAnsi="Arial" w:cs="Arial"/>
                <w:sz w:val="20"/>
                <w:szCs w:val="20"/>
              </w:rPr>
              <w:t xml:space="preserve">Money purchase annual allowance </w:t>
            </w:r>
            <w:r w:rsidR="00773555">
              <w:rPr>
                <w:rFonts w:ascii="Arial" w:hAnsi="Arial" w:cs="Arial"/>
                <w:sz w:val="20"/>
                <w:szCs w:val="20"/>
              </w:rPr>
              <w:t>(</w:t>
            </w:r>
            <w:r w:rsidRPr="00EF34F1">
              <w:rPr>
                <w:rFonts w:ascii="Arial" w:hAnsi="Arial" w:cs="Arial"/>
                <w:sz w:val="20"/>
                <w:szCs w:val="20"/>
              </w:rPr>
              <w:t>note 2</w:t>
            </w:r>
            <w:r w:rsidR="00F93C72">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C76B1">
            <w:pPr>
              <w:jc w:val="right"/>
              <w:rPr>
                <w:rFonts w:ascii="Arial" w:hAnsi="Arial" w:cs="Arial"/>
                <w:sz w:val="20"/>
                <w:szCs w:val="20"/>
              </w:rPr>
            </w:pPr>
            <w:r w:rsidRPr="00EF34F1">
              <w:rPr>
                <w:rFonts w:ascii="Arial" w:hAnsi="Arial" w:cs="Arial"/>
                <w:sz w:val="20"/>
                <w:szCs w:val="20"/>
              </w:rPr>
              <w:t>4,000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9C76B1">
            <w:pPr>
              <w:jc w:val="right"/>
              <w:rPr>
                <w:rFonts w:ascii="Arial" w:hAnsi="Arial" w:cs="Arial"/>
                <w:sz w:val="20"/>
                <w:szCs w:val="20"/>
              </w:rPr>
            </w:pPr>
            <w:r w:rsidRPr="00EF34F1">
              <w:rPr>
                <w:rFonts w:ascii="Arial" w:hAnsi="Arial" w:cs="Arial"/>
                <w:sz w:val="20"/>
                <w:szCs w:val="20"/>
              </w:rPr>
              <w:t> 4,000</w:t>
            </w:r>
          </w:p>
        </w:tc>
      </w:tr>
      <w:tr w:rsidR="001456FA" w:rsidRPr="00EF34F1" w:rsidTr="004637DA">
        <w:trPr>
          <w:trHeight w:val="330"/>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AA0675" w:rsidRDefault="001456FA" w:rsidP="001456FA">
            <w:pPr>
              <w:rPr>
                <w:rFonts w:ascii="Arial" w:hAnsi="Arial" w:cs="Arial"/>
                <w:i/>
                <w:sz w:val="19"/>
                <w:szCs w:val="19"/>
              </w:rPr>
            </w:pPr>
            <w:r w:rsidRPr="00AA0675">
              <w:rPr>
                <w:rFonts w:ascii="Arial" w:hAnsi="Arial" w:cs="Arial"/>
                <w:i/>
                <w:sz w:val="19"/>
                <w:szCs w:val="19"/>
              </w:rPr>
              <w:t>Note 1:</w:t>
            </w:r>
          </w:p>
          <w:p w:rsidR="001456FA" w:rsidRPr="00AA0675" w:rsidRDefault="001456FA" w:rsidP="00AA0675">
            <w:pPr>
              <w:numPr>
                <w:ilvl w:val="0"/>
                <w:numId w:val="6"/>
              </w:numPr>
              <w:ind w:left="308" w:hanging="284"/>
              <w:rPr>
                <w:rFonts w:ascii="Arial" w:hAnsi="Arial" w:cs="Arial"/>
                <w:i/>
                <w:iCs/>
                <w:sz w:val="19"/>
                <w:szCs w:val="19"/>
              </w:rPr>
            </w:pPr>
            <w:r w:rsidRPr="00AA0675">
              <w:rPr>
                <w:rFonts w:ascii="Arial" w:hAnsi="Arial" w:cs="Arial"/>
                <w:i/>
                <w:iCs/>
                <w:sz w:val="19"/>
                <w:szCs w:val="19"/>
              </w:rPr>
              <w:t>The annual allowance is a limit to the total amount of contributions that can be paid to </w:t>
            </w:r>
            <w:hyperlink r:id="rId14" w:history="1">
              <w:r w:rsidRPr="00AA0675">
                <w:rPr>
                  <w:rStyle w:val="Hyperlink"/>
                  <w:rFonts w:ascii="Arial" w:hAnsi="Arial" w:cs="Arial"/>
                  <w:i/>
                  <w:iCs/>
                  <w:sz w:val="19"/>
                  <w:szCs w:val="19"/>
                </w:rPr>
                <w:t>defined contribution</w:t>
              </w:r>
            </w:hyperlink>
            <w:r w:rsidRPr="00AA0675">
              <w:rPr>
                <w:rFonts w:ascii="Arial" w:hAnsi="Arial" w:cs="Arial"/>
                <w:i/>
                <w:iCs/>
                <w:sz w:val="19"/>
                <w:szCs w:val="19"/>
              </w:rPr>
              <w:t> pension schemes and the total amount of benefits that you can build up in </w:t>
            </w:r>
            <w:hyperlink r:id="rId15" w:history="1">
              <w:r w:rsidRPr="00AA0675">
                <w:rPr>
                  <w:rStyle w:val="Hyperlink"/>
                  <w:rFonts w:ascii="Arial" w:hAnsi="Arial" w:cs="Arial"/>
                  <w:i/>
                  <w:iCs/>
                  <w:sz w:val="19"/>
                  <w:szCs w:val="19"/>
                </w:rPr>
                <w:t>defined benefit </w:t>
              </w:r>
            </w:hyperlink>
            <w:r w:rsidRPr="00AA0675">
              <w:rPr>
                <w:rFonts w:ascii="Arial" w:hAnsi="Arial" w:cs="Arial"/>
                <w:i/>
                <w:iCs/>
                <w:sz w:val="19"/>
                <w:szCs w:val="19"/>
              </w:rPr>
              <w:t>pension scheme each year, for tax relief purposes.</w:t>
            </w:r>
          </w:p>
          <w:p w:rsidR="001456FA" w:rsidRPr="00AA0675" w:rsidRDefault="001456FA" w:rsidP="00AA0675">
            <w:pPr>
              <w:numPr>
                <w:ilvl w:val="0"/>
                <w:numId w:val="6"/>
              </w:numPr>
              <w:ind w:left="308" w:hanging="284"/>
              <w:rPr>
                <w:rFonts w:ascii="Arial" w:hAnsi="Arial" w:cs="Arial"/>
                <w:i/>
                <w:iCs/>
                <w:sz w:val="19"/>
                <w:szCs w:val="19"/>
              </w:rPr>
            </w:pPr>
            <w:r w:rsidRPr="00AA0675">
              <w:rPr>
                <w:rFonts w:ascii="Arial" w:hAnsi="Arial" w:cs="Arial"/>
                <w:i/>
                <w:iCs/>
                <w:sz w:val="19"/>
                <w:szCs w:val="19"/>
              </w:rPr>
              <w:t xml:space="preserve">From 2016/17 the annual allowance for those earning above </w:t>
            </w:r>
            <w:r w:rsidR="00095042" w:rsidRPr="00AA0675">
              <w:rPr>
                <w:rFonts w:ascii="Arial" w:hAnsi="Arial" w:cs="Arial"/>
                <w:i/>
                <w:iCs/>
                <w:sz w:val="19"/>
                <w:szCs w:val="19"/>
              </w:rPr>
              <w:t xml:space="preserve">the </w:t>
            </w:r>
            <w:r w:rsidRPr="00AA0675">
              <w:rPr>
                <w:rFonts w:ascii="Arial" w:hAnsi="Arial" w:cs="Arial"/>
                <w:i/>
                <w:iCs/>
                <w:sz w:val="19"/>
                <w:szCs w:val="19"/>
              </w:rPr>
              <w:t>threshold income of £110,000 and £150,000 adjusted income is to be reduced on a tapering basis by £1 for every £2 of income, subject to a minimum allowance of £10,000. Fr</w:t>
            </w:r>
            <w:r w:rsidRPr="00AA0675">
              <w:rPr>
                <w:rFonts w:ascii="Arial" w:hAnsi="Arial" w:cs="Arial"/>
                <w:i/>
                <w:iCs/>
                <w:sz w:val="19"/>
                <w:szCs w:val="19"/>
                <w:lang w:val="x-none"/>
              </w:rPr>
              <w:t>om 2020</w:t>
            </w:r>
            <w:r w:rsidR="00095042" w:rsidRPr="00AA0675">
              <w:rPr>
                <w:rFonts w:ascii="Arial" w:hAnsi="Arial" w:cs="Arial"/>
                <w:i/>
                <w:iCs/>
                <w:sz w:val="19"/>
                <w:szCs w:val="19"/>
              </w:rPr>
              <w:t>/</w:t>
            </w:r>
            <w:r w:rsidRPr="00AA0675">
              <w:rPr>
                <w:rFonts w:ascii="Arial" w:hAnsi="Arial" w:cs="Arial"/>
                <w:i/>
                <w:iCs/>
                <w:sz w:val="19"/>
                <w:szCs w:val="19"/>
                <w:lang w:val="x-none"/>
              </w:rPr>
              <w:t>21 the</w:t>
            </w:r>
            <w:r w:rsidRPr="00AA0675">
              <w:rPr>
                <w:rFonts w:ascii="Arial" w:hAnsi="Arial" w:cs="Arial"/>
                <w:i/>
                <w:iCs/>
                <w:sz w:val="19"/>
                <w:szCs w:val="19"/>
              </w:rPr>
              <w:t xml:space="preserve"> </w:t>
            </w:r>
            <w:r w:rsidR="00095042" w:rsidRPr="00AA0675">
              <w:rPr>
                <w:rFonts w:ascii="Arial" w:hAnsi="Arial" w:cs="Arial"/>
                <w:i/>
                <w:iCs/>
                <w:sz w:val="19"/>
                <w:szCs w:val="19"/>
                <w:lang w:val="x-none"/>
              </w:rPr>
              <w:t>t</w:t>
            </w:r>
            <w:r w:rsidRPr="00AA0675">
              <w:rPr>
                <w:rFonts w:ascii="Arial" w:hAnsi="Arial" w:cs="Arial"/>
                <w:i/>
                <w:iCs/>
                <w:sz w:val="19"/>
                <w:szCs w:val="19"/>
                <w:lang w:val="x-none"/>
              </w:rPr>
              <w:t xml:space="preserve">hreshold income will be £200,000, so individuals with income below this level will not be affected by the tapered annual allowance, and the annual allowance will only begin to taper down for individuals who also have an adjusted income above £240,000. </w:t>
            </w:r>
          </w:p>
          <w:p w:rsidR="001456FA" w:rsidRPr="00AA0675" w:rsidRDefault="001456FA" w:rsidP="00AA0675">
            <w:pPr>
              <w:numPr>
                <w:ilvl w:val="0"/>
                <w:numId w:val="6"/>
              </w:numPr>
              <w:ind w:left="308" w:hanging="284"/>
              <w:rPr>
                <w:rFonts w:ascii="Arial" w:hAnsi="Arial" w:cs="Arial"/>
                <w:i/>
                <w:iCs/>
                <w:sz w:val="19"/>
                <w:szCs w:val="19"/>
              </w:rPr>
            </w:pPr>
            <w:r w:rsidRPr="00AA0675">
              <w:rPr>
                <w:rFonts w:ascii="Arial" w:hAnsi="Arial" w:cs="Arial"/>
                <w:i/>
                <w:iCs/>
                <w:sz w:val="19"/>
                <w:szCs w:val="19"/>
              </w:rPr>
              <w:t>From April 2020, the annual allowance for individual</w:t>
            </w:r>
            <w:r w:rsidR="00095042" w:rsidRPr="00AA0675">
              <w:rPr>
                <w:rFonts w:ascii="Arial" w:hAnsi="Arial" w:cs="Arial"/>
                <w:i/>
                <w:iCs/>
                <w:sz w:val="19"/>
                <w:szCs w:val="19"/>
              </w:rPr>
              <w:t>s</w:t>
            </w:r>
            <w:r w:rsidRPr="00AA0675">
              <w:rPr>
                <w:rFonts w:ascii="Arial" w:hAnsi="Arial" w:cs="Arial"/>
                <w:i/>
                <w:iCs/>
                <w:sz w:val="19"/>
                <w:szCs w:val="19"/>
              </w:rPr>
              <w:t xml:space="preserve"> with total income (including pension accrual) </w:t>
            </w:r>
            <w:r w:rsidR="000C7BBB" w:rsidRPr="00AA0675">
              <w:rPr>
                <w:rFonts w:ascii="Arial" w:hAnsi="Arial" w:cs="Arial"/>
                <w:i/>
                <w:iCs/>
                <w:sz w:val="19"/>
                <w:szCs w:val="19"/>
              </w:rPr>
              <w:t xml:space="preserve">of </w:t>
            </w:r>
            <w:r w:rsidRPr="00AA0675">
              <w:rPr>
                <w:rFonts w:ascii="Arial" w:hAnsi="Arial" w:cs="Arial"/>
                <w:i/>
                <w:iCs/>
                <w:sz w:val="19"/>
                <w:szCs w:val="19"/>
              </w:rPr>
              <w:t xml:space="preserve">over £300,000 will reduce from £10,000 to £4,000. </w:t>
            </w:r>
          </w:p>
          <w:p w:rsidR="001456FA" w:rsidRPr="00EF34F1" w:rsidRDefault="0034635B" w:rsidP="001456FA">
            <w:pPr>
              <w:rPr>
                <w:rFonts w:ascii="Arial" w:hAnsi="Arial" w:cs="Arial"/>
                <w:sz w:val="20"/>
                <w:szCs w:val="20"/>
              </w:rPr>
            </w:pPr>
            <w:r w:rsidRPr="00AA0675">
              <w:rPr>
                <w:rFonts w:ascii="Arial" w:hAnsi="Arial" w:cs="Arial"/>
                <w:i/>
                <w:iCs/>
                <w:sz w:val="19"/>
                <w:szCs w:val="19"/>
              </w:rPr>
              <w:t xml:space="preserve">Note </w:t>
            </w:r>
            <w:r w:rsidR="001456FA" w:rsidRPr="00AA0675">
              <w:rPr>
                <w:rFonts w:ascii="Arial" w:hAnsi="Arial" w:cs="Arial"/>
                <w:i/>
                <w:iCs/>
                <w:sz w:val="19"/>
                <w:szCs w:val="19"/>
              </w:rPr>
              <w:t>2: The annual allowance is currently capped at £40,000</w:t>
            </w:r>
            <w:r w:rsidR="00AA0675" w:rsidRPr="00AA0675">
              <w:rPr>
                <w:rFonts w:ascii="Arial" w:hAnsi="Arial" w:cs="Arial"/>
                <w:i/>
                <w:iCs/>
                <w:sz w:val="19"/>
                <w:szCs w:val="19"/>
              </w:rPr>
              <w:t>,</w:t>
            </w:r>
            <w:r w:rsidR="001456FA" w:rsidRPr="00AA0675">
              <w:rPr>
                <w:rFonts w:ascii="Arial" w:hAnsi="Arial" w:cs="Arial"/>
                <w:i/>
                <w:iCs/>
                <w:sz w:val="19"/>
                <w:szCs w:val="19"/>
              </w:rPr>
              <w:t xml:space="preserve"> although a lower limit of £4,000 may apply if you have already started drawing a pension.</w:t>
            </w:r>
          </w:p>
        </w:tc>
      </w:tr>
      <w:tr w:rsidR="00AA0675"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AA0675" w:rsidRPr="00EF34F1" w:rsidRDefault="00AA0675" w:rsidP="00361A8F">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AA0675" w:rsidRPr="00EF34F1" w:rsidRDefault="00AA0675" w:rsidP="00AA0675">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AA0675" w:rsidRPr="00EF34F1" w:rsidRDefault="00AA0675" w:rsidP="00AA0675">
            <w:pPr>
              <w:jc w:val="right"/>
              <w:rPr>
                <w:rFonts w:ascii="Arial" w:hAnsi="Arial" w:cs="Arial"/>
                <w:b/>
                <w:bCs/>
                <w:sz w:val="24"/>
                <w:szCs w:val="24"/>
              </w:rPr>
            </w:pPr>
            <w:r w:rsidRPr="00EF34F1">
              <w:rPr>
                <w:rFonts w:ascii="Arial" w:hAnsi="Arial" w:cs="Arial"/>
                <w:b/>
                <w:bCs/>
                <w:sz w:val="24"/>
                <w:szCs w:val="24"/>
              </w:rPr>
              <w:t>2020/21</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Reliefs and incentives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AA0675">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AA0675">
            <w:pPr>
              <w:jc w:val="right"/>
              <w:rPr>
                <w:rFonts w:ascii="Arial" w:hAnsi="Arial" w:cs="Arial"/>
                <w:b/>
                <w:bCs/>
                <w:sz w:val="20"/>
                <w:szCs w:val="20"/>
              </w:rPr>
            </w:pPr>
            <w:r w:rsidRPr="00EF34F1">
              <w:rPr>
                <w:rFonts w:ascii="Arial" w:hAnsi="Arial" w:cs="Arial"/>
                <w:b/>
                <w:bCs/>
                <w:sz w:val="20"/>
                <w:szCs w:val="20"/>
              </w:rPr>
              <w:t> </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5E5C">
            <w:pPr>
              <w:rPr>
                <w:rFonts w:ascii="Arial" w:hAnsi="Arial" w:cs="Arial"/>
                <w:sz w:val="20"/>
                <w:szCs w:val="20"/>
              </w:rPr>
            </w:pPr>
            <w:r w:rsidRPr="00EF34F1">
              <w:rPr>
                <w:rFonts w:ascii="Arial" w:hAnsi="Arial" w:cs="Arial"/>
                <w:sz w:val="20"/>
                <w:szCs w:val="20"/>
              </w:rPr>
              <w:t xml:space="preserve">Enterprise Investment Scheme (EIS) – maximum </w:t>
            </w:r>
            <w:r w:rsidR="00AA0675">
              <w:rPr>
                <w:rFonts w:ascii="Arial" w:hAnsi="Arial" w:cs="Arial"/>
                <w:sz w:val="20"/>
                <w:szCs w:val="20"/>
              </w:rPr>
              <w:t>(</w:t>
            </w:r>
            <w:r w:rsidRPr="00EF34F1">
              <w:rPr>
                <w:rFonts w:ascii="Arial" w:hAnsi="Arial" w:cs="Arial"/>
                <w:sz w:val="20"/>
                <w:szCs w:val="20"/>
              </w:rPr>
              <w:t>note 1</w:t>
            </w:r>
            <w:r w:rsidR="00AA0675">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Venture Capital Trust (VCT) </w:t>
            </w:r>
            <w:r w:rsidR="00AA0675">
              <w:rPr>
                <w:rFonts w:ascii="Arial" w:hAnsi="Arial" w:cs="Arial"/>
                <w:sz w:val="20"/>
                <w:szCs w:val="20"/>
              </w:rPr>
              <w:t>–</w:t>
            </w:r>
            <w:r w:rsidRPr="00EF34F1">
              <w:rPr>
                <w:rFonts w:ascii="Arial" w:hAnsi="Arial" w:cs="Arial"/>
                <w:sz w:val="20"/>
                <w:szCs w:val="20"/>
              </w:rPr>
              <w:t xml:space="preserve"> maximum</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200,000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200,000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Enterprise Management Incentive Scheme (EMI) </w:t>
            </w:r>
            <w:r w:rsidR="00AA0675">
              <w:rPr>
                <w:rFonts w:ascii="Arial" w:hAnsi="Arial" w:cs="Arial"/>
                <w:sz w:val="20"/>
                <w:szCs w:val="20"/>
              </w:rPr>
              <w:t>–</w:t>
            </w:r>
            <w:r w:rsidRPr="00EF34F1">
              <w:rPr>
                <w:rFonts w:ascii="Arial" w:hAnsi="Arial" w:cs="Arial"/>
                <w:sz w:val="20"/>
                <w:szCs w:val="20"/>
              </w:rPr>
              <w:t xml:space="preserve"> employee limit up to the value of £250,000 in a </w:t>
            </w:r>
            <w:r w:rsidR="00AA0675">
              <w:rPr>
                <w:rFonts w:ascii="Arial" w:hAnsi="Arial" w:cs="Arial"/>
                <w:sz w:val="20"/>
                <w:szCs w:val="20"/>
              </w:rPr>
              <w:t>three</w:t>
            </w:r>
            <w:r w:rsidRPr="00EF34F1">
              <w:rPr>
                <w:rFonts w:ascii="Arial" w:hAnsi="Arial" w:cs="Arial"/>
                <w:sz w:val="20"/>
                <w:szCs w:val="20"/>
              </w:rPr>
              <w:t>-year period</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250,000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250,000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Seed Enterprise Investment Scheme (SEIS) – maximum </w:t>
            </w:r>
            <w:r w:rsidR="00AA0675">
              <w:rPr>
                <w:rFonts w:ascii="Arial" w:hAnsi="Arial" w:cs="Arial"/>
                <w:sz w:val="20"/>
                <w:szCs w:val="20"/>
              </w:rPr>
              <w:t>(</w:t>
            </w:r>
            <w:r w:rsidRPr="00EF34F1">
              <w:rPr>
                <w:rFonts w:ascii="Arial" w:hAnsi="Arial" w:cs="Arial"/>
                <w:sz w:val="20"/>
                <w:szCs w:val="20"/>
              </w:rPr>
              <w:t>note 2</w:t>
            </w:r>
            <w:r w:rsidR="00AA0675">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tcPr>
          <w:p w:rsidR="00450938" w:rsidRPr="00EF34F1" w:rsidRDefault="00450938">
            <w:pPr>
              <w:rPr>
                <w:rFonts w:ascii="Arial" w:hAnsi="Arial" w:cs="Arial"/>
                <w:sz w:val="20"/>
                <w:szCs w:val="20"/>
              </w:rPr>
            </w:pPr>
            <w:r w:rsidRPr="00EF34F1">
              <w:rPr>
                <w:rFonts w:ascii="Arial" w:hAnsi="Arial" w:cs="Arial"/>
                <w:sz w:val="20"/>
                <w:szCs w:val="20"/>
              </w:rPr>
              <w:t>Social Investment Tax Relief (SITR) – maximum</w:t>
            </w:r>
          </w:p>
        </w:tc>
        <w:tc>
          <w:tcPr>
            <w:tcW w:w="1842" w:type="dxa"/>
            <w:tcBorders>
              <w:top w:val="single" w:sz="4" w:space="0" w:color="auto"/>
              <w:left w:val="single" w:sz="4" w:space="0" w:color="auto"/>
              <w:bottom w:val="single" w:sz="4" w:space="0" w:color="auto"/>
              <w:right w:val="single" w:sz="4" w:space="0" w:color="auto"/>
            </w:tcBorders>
            <w:noWrap/>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1,000,000</w:t>
            </w:r>
          </w:p>
        </w:tc>
        <w:tc>
          <w:tcPr>
            <w:tcW w:w="1700" w:type="dxa"/>
            <w:tcBorders>
              <w:top w:val="single" w:sz="4" w:space="0" w:color="auto"/>
              <w:left w:val="single" w:sz="4" w:space="0" w:color="auto"/>
              <w:bottom w:val="single" w:sz="4" w:space="0" w:color="auto"/>
              <w:right w:val="single" w:sz="4" w:space="0" w:color="auto"/>
            </w:tcBorders>
            <w:noWrap/>
          </w:tcPr>
          <w:p w:rsidR="00450938" w:rsidRPr="00EF34F1" w:rsidRDefault="00AA0675" w:rsidP="00AA0675">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Income tax relief on EIS schemes</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AA0675">
            <w:pPr>
              <w:jc w:val="right"/>
              <w:rPr>
                <w:rFonts w:ascii="Arial" w:hAnsi="Arial" w:cs="Arial"/>
                <w:sz w:val="20"/>
                <w:szCs w:val="20"/>
              </w:rPr>
            </w:pPr>
            <w:r w:rsidRPr="00EF34F1">
              <w:rPr>
                <w:rFonts w:ascii="Arial" w:hAnsi="Arial" w:cs="Arial"/>
                <w:sz w:val="20"/>
                <w:szCs w:val="20"/>
              </w:rPr>
              <w:t>30%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AA0675">
            <w:pPr>
              <w:jc w:val="right"/>
              <w:rPr>
                <w:rFonts w:ascii="Arial" w:hAnsi="Arial" w:cs="Arial"/>
                <w:sz w:val="20"/>
                <w:szCs w:val="20"/>
              </w:rPr>
            </w:pPr>
            <w:r w:rsidRPr="00EF34F1">
              <w:rPr>
                <w:rFonts w:ascii="Arial" w:hAnsi="Arial" w:cs="Arial"/>
                <w:sz w:val="20"/>
                <w:szCs w:val="20"/>
              </w:rPr>
              <w:t>30%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Income tax relief on VCT schemes</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AA0675">
            <w:pPr>
              <w:jc w:val="right"/>
              <w:rPr>
                <w:rFonts w:ascii="Arial" w:hAnsi="Arial" w:cs="Arial"/>
                <w:sz w:val="20"/>
                <w:szCs w:val="20"/>
              </w:rPr>
            </w:pPr>
            <w:r w:rsidRPr="00EF34F1">
              <w:rPr>
                <w:rFonts w:ascii="Arial" w:hAnsi="Arial" w:cs="Arial"/>
                <w:sz w:val="20"/>
                <w:szCs w:val="20"/>
              </w:rPr>
              <w:t>30%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AA0675">
            <w:pPr>
              <w:jc w:val="right"/>
              <w:rPr>
                <w:rFonts w:ascii="Arial" w:hAnsi="Arial" w:cs="Arial"/>
                <w:sz w:val="20"/>
                <w:szCs w:val="20"/>
              </w:rPr>
            </w:pPr>
            <w:r w:rsidRPr="00EF34F1">
              <w:rPr>
                <w:rFonts w:ascii="Arial" w:hAnsi="Arial" w:cs="Arial"/>
                <w:sz w:val="20"/>
                <w:szCs w:val="20"/>
              </w:rPr>
              <w:t>30%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Income tax relief on SEIS schemes</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AA0675">
            <w:pPr>
              <w:jc w:val="right"/>
              <w:rPr>
                <w:rFonts w:ascii="Arial" w:hAnsi="Arial" w:cs="Arial"/>
                <w:sz w:val="20"/>
                <w:szCs w:val="20"/>
              </w:rPr>
            </w:pPr>
            <w:r w:rsidRPr="00EF34F1">
              <w:rPr>
                <w:rFonts w:ascii="Arial" w:hAnsi="Arial" w:cs="Arial"/>
                <w:sz w:val="20"/>
                <w:szCs w:val="20"/>
              </w:rPr>
              <w:t>50%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AA0675">
            <w:pPr>
              <w:jc w:val="right"/>
              <w:rPr>
                <w:rFonts w:ascii="Arial" w:hAnsi="Arial" w:cs="Arial"/>
                <w:sz w:val="20"/>
                <w:szCs w:val="20"/>
              </w:rPr>
            </w:pPr>
            <w:r w:rsidRPr="00EF34F1">
              <w:rPr>
                <w:rFonts w:ascii="Arial" w:hAnsi="Arial" w:cs="Arial"/>
                <w:sz w:val="20"/>
                <w:szCs w:val="20"/>
              </w:rPr>
              <w:t>50%</w:t>
            </w:r>
          </w:p>
        </w:tc>
      </w:tr>
      <w:tr w:rsidR="0045093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noWrap/>
          </w:tcPr>
          <w:p w:rsidR="00450938" w:rsidRPr="00EF34F1" w:rsidRDefault="00450938" w:rsidP="00076806">
            <w:pPr>
              <w:rPr>
                <w:rFonts w:ascii="Arial" w:hAnsi="Arial" w:cs="Arial"/>
                <w:sz w:val="20"/>
                <w:szCs w:val="20"/>
              </w:rPr>
            </w:pPr>
            <w:r w:rsidRPr="00EF34F1">
              <w:rPr>
                <w:rFonts w:ascii="Arial" w:hAnsi="Arial" w:cs="Arial"/>
                <w:sz w:val="20"/>
                <w:szCs w:val="20"/>
              </w:rPr>
              <w:t>Income tax relief on SITR schemes</w:t>
            </w:r>
          </w:p>
        </w:tc>
        <w:tc>
          <w:tcPr>
            <w:tcW w:w="1842" w:type="dxa"/>
            <w:tcBorders>
              <w:top w:val="single" w:sz="4" w:space="0" w:color="auto"/>
              <w:left w:val="single" w:sz="4" w:space="0" w:color="auto"/>
              <w:bottom w:val="single" w:sz="4" w:space="0" w:color="auto"/>
              <w:right w:val="single" w:sz="4" w:space="0" w:color="auto"/>
            </w:tcBorders>
            <w:noWrap/>
          </w:tcPr>
          <w:p w:rsidR="00450938" w:rsidRPr="00EF34F1" w:rsidRDefault="00450938" w:rsidP="00AA0675">
            <w:pPr>
              <w:jc w:val="right"/>
              <w:rPr>
                <w:rFonts w:ascii="Arial" w:hAnsi="Arial" w:cs="Arial"/>
                <w:sz w:val="20"/>
                <w:szCs w:val="20"/>
              </w:rPr>
            </w:pPr>
            <w:r w:rsidRPr="00EF34F1">
              <w:rPr>
                <w:rFonts w:ascii="Arial" w:hAnsi="Arial" w:cs="Arial"/>
                <w:sz w:val="20"/>
                <w:szCs w:val="20"/>
              </w:rPr>
              <w:t>30%</w:t>
            </w:r>
          </w:p>
        </w:tc>
        <w:tc>
          <w:tcPr>
            <w:tcW w:w="1700" w:type="dxa"/>
            <w:tcBorders>
              <w:top w:val="single" w:sz="4" w:space="0" w:color="auto"/>
              <w:left w:val="single" w:sz="4" w:space="0" w:color="auto"/>
              <w:bottom w:val="single" w:sz="4" w:space="0" w:color="auto"/>
              <w:right w:val="single" w:sz="4" w:space="0" w:color="auto"/>
            </w:tcBorders>
            <w:noWrap/>
          </w:tcPr>
          <w:p w:rsidR="00450938" w:rsidRPr="00EF34F1" w:rsidRDefault="00450938" w:rsidP="00AA0675">
            <w:pPr>
              <w:jc w:val="right"/>
              <w:rPr>
                <w:rFonts w:ascii="Arial" w:hAnsi="Arial" w:cs="Arial"/>
                <w:sz w:val="20"/>
                <w:szCs w:val="20"/>
              </w:rPr>
            </w:pPr>
            <w:r w:rsidRPr="00EF34F1">
              <w:rPr>
                <w:rFonts w:ascii="Arial" w:hAnsi="Arial" w:cs="Arial"/>
                <w:sz w:val="20"/>
                <w:szCs w:val="20"/>
              </w:rPr>
              <w:t>30%</w:t>
            </w:r>
          </w:p>
        </w:tc>
      </w:tr>
      <w:tr w:rsidR="001456FA" w:rsidRPr="00EF34F1" w:rsidTr="004637DA">
        <w:trPr>
          <w:trHeight w:val="330"/>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0F6385" w:rsidRDefault="0091339A" w:rsidP="001456FA">
            <w:pPr>
              <w:rPr>
                <w:rFonts w:ascii="Arial" w:hAnsi="Arial" w:cs="Arial"/>
                <w:i/>
                <w:iCs/>
                <w:sz w:val="20"/>
                <w:szCs w:val="20"/>
              </w:rPr>
            </w:pPr>
            <w:r w:rsidRPr="000F6385">
              <w:rPr>
                <w:rFonts w:ascii="Arial" w:hAnsi="Arial" w:cs="Arial"/>
                <w:i/>
                <w:iCs/>
                <w:sz w:val="20"/>
                <w:szCs w:val="20"/>
              </w:rPr>
              <w:t xml:space="preserve">Note </w:t>
            </w:r>
            <w:r w:rsidR="001456FA" w:rsidRPr="000F6385">
              <w:rPr>
                <w:rFonts w:ascii="Arial" w:hAnsi="Arial" w:cs="Arial"/>
                <w:i/>
                <w:iCs/>
                <w:sz w:val="20"/>
                <w:szCs w:val="20"/>
              </w:rPr>
              <w:t>1</w:t>
            </w:r>
            <w:r w:rsidRPr="000F6385">
              <w:rPr>
                <w:rFonts w:ascii="Arial" w:hAnsi="Arial" w:cs="Arial"/>
                <w:i/>
                <w:iCs/>
                <w:sz w:val="20"/>
                <w:szCs w:val="20"/>
              </w:rPr>
              <w:t>:</w:t>
            </w:r>
            <w:r w:rsidR="001456FA" w:rsidRPr="000F6385">
              <w:rPr>
                <w:rFonts w:ascii="Arial" w:hAnsi="Arial" w:cs="Arial"/>
                <w:i/>
                <w:iCs/>
                <w:sz w:val="20"/>
                <w:szCs w:val="20"/>
              </w:rPr>
              <w:t xml:space="preserve"> From 6 April 2018, the annual limit is doubled to £2</w:t>
            </w:r>
            <w:r w:rsidR="002D35D3" w:rsidRPr="000F6385">
              <w:rPr>
                <w:rFonts w:ascii="Arial" w:hAnsi="Arial" w:cs="Arial"/>
                <w:i/>
                <w:iCs/>
                <w:sz w:val="20"/>
                <w:szCs w:val="20"/>
              </w:rPr>
              <w:t>m</w:t>
            </w:r>
            <w:r w:rsidR="001456FA" w:rsidRPr="000F6385">
              <w:rPr>
                <w:rFonts w:ascii="Arial" w:hAnsi="Arial" w:cs="Arial"/>
                <w:i/>
                <w:iCs/>
                <w:sz w:val="20"/>
                <w:szCs w:val="20"/>
              </w:rPr>
              <w:t xml:space="preserve">, provided </w:t>
            </w:r>
            <w:r w:rsidR="002D35D3" w:rsidRPr="000F6385">
              <w:rPr>
                <w:rFonts w:ascii="Arial" w:hAnsi="Arial" w:cs="Arial"/>
                <w:i/>
                <w:iCs/>
                <w:sz w:val="20"/>
                <w:szCs w:val="20"/>
              </w:rPr>
              <w:t xml:space="preserve">that </w:t>
            </w:r>
            <w:r w:rsidR="001456FA" w:rsidRPr="000F6385">
              <w:rPr>
                <w:rFonts w:ascii="Arial" w:hAnsi="Arial" w:cs="Arial"/>
                <w:i/>
                <w:iCs/>
                <w:sz w:val="20"/>
                <w:szCs w:val="20"/>
              </w:rPr>
              <w:t>any amount over £</w:t>
            </w:r>
            <w:r w:rsidR="002D35D3" w:rsidRPr="000F6385">
              <w:rPr>
                <w:rFonts w:ascii="Arial" w:hAnsi="Arial" w:cs="Arial"/>
                <w:i/>
                <w:iCs/>
                <w:sz w:val="20"/>
                <w:szCs w:val="20"/>
              </w:rPr>
              <w:t>1m</w:t>
            </w:r>
            <w:r w:rsidR="001456FA" w:rsidRPr="000F6385">
              <w:rPr>
                <w:rFonts w:ascii="Arial" w:hAnsi="Arial" w:cs="Arial"/>
                <w:i/>
                <w:iCs/>
                <w:sz w:val="20"/>
                <w:szCs w:val="20"/>
              </w:rPr>
              <w:t xml:space="preserve"> is invested in one or more knowledge-intensive companies</w:t>
            </w:r>
            <w:r w:rsidR="00EF34F1" w:rsidRPr="000F6385">
              <w:rPr>
                <w:rFonts w:ascii="Arial" w:hAnsi="Arial" w:cs="Arial"/>
                <w:i/>
                <w:iCs/>
                <w:sz w:val="20"/>
                <w:szCs w:val="20"/>
              </w:rPr>
              <w:t>.</w:t>
            </w:r>
          </w:p>
          <w:p w:rsidR="001456FA" w:rsidRPr="00EF34F1" w:rsidRDefault="0091339A" w:rsidP="001456FA">
            <w:pPr>
              <w:rPr>
                <w:rFonts w:ascii="Arial" w:hAnsi="Arial" w:cs="Arial"/>
                <w:sz w:val="20"/>
                <w:szCs w:val="20"/>
              </w:rPr>
            </w:pPr>
            <w:r w:rsidRPr="000F6385">
              <w:rPr>
                <w:rFonts w:ascii="Arial" w:hAnsi="Arial" w:cs="Arial"/>
                <w:i/>
                <w:iCs/>
                <w:sz w:val="20"/>
                <w:szCs w:val="20"/>
              </w:rPr>
              <w:t xml:space="preserve">Note </w:t>
            </w:r>
            <w:r w:rsidR="001456FA" w:rsidRPr="000F6385">
              <w:rPr>
                <w:rFonts w:ascii="Arial" w:hAnsi="Arial" w:cs="Arial"/>
                <w:i/>
                <w:iCs/>
                <w:sz w:val="20"/>
                <w:szCs w:val="20"/>
              </w:rPr>
              <w:t>2</w:t>
            </w:r>
            <w:r w:rsidRPr="000F6385">
              <w:rPr>
                <w:rFonts w:ascii="Arial" w:hAnsi="Arial" w:cs="Arial"/>
                <w:i/>
                <w:iCs/>
                <w:sz w:val="20"/>
                <w:szCs w:val="20"/>
              </w:rPr>
              <w:t>:</w:t>
            </w:r>
            <w:r w:rsidR="001456FA" w:rsidRPr="000F6385">
              <w:rPr>
                <w:rFonts w:ascii="Arial" w:hAnsi="Arial" w:cs="Arial"/>
                <w:i/>
                <w:iCs/>
                <w:sz w:val="20"/>
                <w:szCs w:val="20"/>
              </w:rPr>
              <w:t xml:space="preserve"> Capital gains tax reinvestment relief may also be available for investments made in 2018/19 on 50% of </w:t>
            </w:r>
            <w:r w:rsidR="000F6385" w:rsidRPr="000F6385">
              <w:rPr>
                <w:rFonts w:ascii="Arial" w:hAnsi="Arial" w:cs="Arial"/>
                <w:i/>
                <w:iCs/>
                <w:sz w:val="20"/>
                <w:szCs w:val="20"/>
              </w:rPr>
              <w:t xml:space="preserve">the </w:t>
            </w:r>
            <w:r w:rsidR="001456FA" w:rsidRPr="000F6385">
              <w:rPr>
                <w:rFonts w:ascii="Arial" w:hAnsi="Arial" w:cs="Arial"/>
                <w:i/>
                <w:iCs/>
                <w:sz w:val="20"/>
                <w:szCs w:val="20"/>
              </w:rPr>
              <w:t>amount invested.</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Individual Savings Account (ISA):</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CE6084">
            <w:pPr>
              <w:jc w:val="right"/>
              <w:rPr>
                <w:rFonts w:ascii="Arial" w:hAnsi="Arial" w:cs="Arial"/>
                <w:b/>
                <w:bCs/>
                <w:sz w:val="20"/>
                <w:szCs w:val="20"/>
              </w:rPr>
            </w:pPr>
            <w:r w:rsidRPr="00EF34F1">
              <w:rPr>
                <w:rFonts w:ascii="Arial" w:hAnsi="Arial" w:cs="Arial"/>
                <w:b/>
                <w:bCs/>
                <w:sz w:val="20"/>
                <w:szCs w:val="20"/>
              </w:rPr>
              <w:t> </w:t>
            </w:r>
            <w:r w:rsidR="00CE6084">
              <w:rPr>
                <w:rFonts w:ascii="Arial" w:hAnsi="Arial" w:cs="Arial"/>
                <w:b/>
                <w:bCs/>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CE6084" w:rsidRDefault="00450938" w:rsidP="00CE6084">
            <w:pPr>
              <w:jc w:val="right"/>
              <w:rPr>
                <w:rFonts w:ascii="Arial" w:hAnsi="Arial" w:cs="Arial"/>
                <w:b/>
                <w:bCs/>
                <w:sz w:val="20"/>
                <w:szCs w:val="20"/>
              </w:rPr>
            </w:pPr>
            <w:r w:rsidRPr="00EF34F1">
              <w:rPr>
                <w:rFonts w:ascii="Arial" w:hAnsi="Arial" w:cs="Arial"/>
                <w:sz w:val="20"/>
                <w:szCs w:val="20"/>
              </w:rPr>
              <w:t> </w:t>
            </w:r>
            <w:r w:rsidR="00CE6084" w:rsidRPr="00CE6084">
              <w:rPr>
                <w:rFonts w:ascii="Arial" w:hAnsi="Arial" w:cs="Arial"/>
                <w:b/>
                <w:bCs/>
                <w:sz w:val="20"/>
                <w:szCs w:val="20"/>
              </w:rPr>
              <w:t>£</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 xml:space="preserve">ISA (NISA) annual limit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20,000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20,000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Junior ISA investment annual limit – under 18</w:t>
            </w:r>
            <w:r w:rsidR="00CE6084">
              <w:rPr>
                <w:rFonts w:ascii="Arial" w:hAnsi="Arial" w:cs="Arial"/>
                <w:sz w:val="20"/>
                <w:szCs w:val="20"/>
              </w:rPr>
              <w:t>,</w:t>
            </w:r>
            <w:r w:rsidRPr="00EF34F1">
              <w:rPr>
                <w:rFonts w:ascii="Arial" w:hAnsi="Arial" w:cs="Arial"/>
                <w:sz w:val="20"/>
                <w:szCs w:val="20"/>
              </w:rPr>
              <w:t xml:space="preserve"> living in the UK</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4,368</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9,000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D27AAD">
            <w:pPr>
              <w:rPr>
                <w:rFonts w:ascii="Arial" w:hAnsi="Arial" w:cs="Arial"/>
                <w:sz w:val="20"/>
                <w:szCs w:val="20"/>
              </w:rPr>
            </w:pPr>
            <w:r w:rsidRPr="00EF34F1">
              <w:rPr>
                <w:rFonts w:ascii="Arial" w:hAnsi="Arial" w:cs="Arial"/>
                <w:sz w:val="20"/>
                <w:szCs w:val="20"/>
              </w:rPr>
              <w:t xml:space="preserve">Child Trust Fund annual limit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4,368</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9,000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L</w:t>
            </w:r>
            <w:r w:rsidR="00361A8F">
              <w:rPr>
                <w:rFonts w:ascii="Arial" w:hAnsi="Arial" w:cs="Arial"/>
                <w:sz w:val="20"/>
                <w:szCs w:val="20"/>
              </w:rPr>
              <w:t xml:space="preserve">ifetime </w:t>
            </w:r>
            <w:r w:rsidRPr="00EF34F1">
              <w:rPr>
                <w:rFonts w:ascii="Arial" w:hAnsi="Arial" w:cs="Arial"/>
                <w:sz w:val="20"/>
                <w:szCs w:val="20"/>
              </w:rPr>
              <w:t xml:space="preserve">ISA annual limit </w:t>
            </w:r>
            <w:r w:rsidR="00CE6084">
              <w:rPr>
                <w:rFonts w:ascii="Arial" w:hAnsi="Arial" w:cs="Arial"/>
                <w:sz w:val="20"/>
                <w:szCs w:val="20"/>
              </w:rPr>
              <w:t>(</w:t>
            </w:r>
            <w:r w:rsidRPr="00EF34F1">
              <w:rPr>
                <w:rFonts w:ascii="Arial" w:hAnsi="Arial" w:cs="Arial"/>
                <w:sz w:val="20"/>
                <w:szCs w:val="20"/>
              </w:rPr>
              <w:t>note 1</w:t>
            </w:r>
            <w:r w:rsidR="00CE6084">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4,000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CE6084">
            <w:pPr>
              <w:jc w:val="right"/>
              <w:rPr>
                <w:rFonts w:ascii="Arial" w:hAnsi="Arial" w:cs="Arial"/>
                <w:sz w:val="20"/>
                <w:szCs w:val="20"/>
              </w:rPr>
            </w:pPr>
            <w:r w:rsidRPr="00EF34F1">
              <w:rPr>
                <w:rFonts w:ascii="Arial" w:hAnsi="Arial" w:cs="Arial"/>
                <w:sz w:val="20"/>
                <w:szCs w:val="20"/>
              </w:rPr>
              <w:t>4,000</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EF34F1" w:rsidRDefault="001456FA" w:rsidP="001456FA">
            <w:pPr>
              <w:rPr>
                <w:rFonts w:ascii="Arial" w:hAnsi="Arial" w:cs="Arial"/>
                <w:sz w:val="20"/>
                <w:szCs w:val="20"/>
              </w:rPr>
            </w:pPr>
            <w:r w:rsidRPr="00EF34F1">
              <w:rPr>
                <w:rFonts w:ascii="Arial" w:hAnsi="Arial" w:cs="Arial"/>
                <w:i/>
                <w:sz w:val="20"/>
                <w:szCs w:val="20"/>
              </w:rPr>
              <w:t>Note</w:t>
            </w:r>
            <w:r w:rsidR="00361A8F">
              <w:rPr>
                <w:rFonts w:ascii="Arial" w:hAnsi="Arial" w:cs="Arial"/>
                <w:i/>
                <w:sz w:val="20"/>
                <w:szCs w:val="20"/>
              </w:rPr>
              <w:t xml:space="preserve"> 1</w:t>
            </w:r>
            <w:r w:rsidRPr="00EF34F1">
              <w:rPr>
                <w:rFonts w:ascii="Arial" w:hAnsi="Arial" w:cs="Arial"/>
                <w:i/>
                <w:sz w:val="20"/>
                <w:szCs w:val="20"/>
              </w:rPr>
              <w:t xml:space="preserve">: To open a Lifetime ISA you must be 18 or over but under 40. Contributions can be made until age 50. The government will add a 25% bonus to the savings, up to a maximum of £1,000 per year. The </w:t>
            </w:r>
            <w:r w:rsidR="00A23466">
              <w:rPr>
                <w:rFonts w:ascii="Arial" w:hAnsi="Arial" w:cs="Arial"/>
                <w:i/>
                <w:sz w:val="20"/>
                <w:szCs w:val="20"/>
              </w:rPr>
              <w:t>l</w:t>
            </w:r>
            <w:r w:rsidRPr="00EF34F1">
              <w:rPr>
                <w:rFonts w:ascii="Arial" w:hAnsi="Arial" w:cs="Arial"/>
                <w:i/>
                <w:sz w:val="20"/>
                <w:szCs w:val="20"/>
              </w:rPr>
              <w:t>ifetime ISA limit of £4,000 counts towards the annual ISA limit.</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pPr>
              <w:rPr>
                <w:rFonts w:ascii="Arial" w:hAnsi="Arial" w:cs="Arial"/>
                <w:b/>
                <w:bCs/>
                <w:sz w:val="20"/>
                <w:szCs w:val="20"/>
              </w:rPr>
            </w:pPr>
            <w:r w:rsidRPr="00EF34F1">
              <w:rPr>
                <w:rFonts w:ascii="Arial" w:hAnsi="Arial" w:cs="Arial"/>
                <w:b/>
                <w:bCs/>
                <w:sz w:val="20"/>
                <w:szCs w:val="20"/>
              </w:rPr>
              <w:t>Capital gains tax</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2E7A0A">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450938" w:rsidRPr="00EF34F1" w:rsidRDefault="00450938" w:rsidP="002E7A0A">
            <w:pPr>
              <w:jc w:val="right"/>
              <w:rPr>
                <w:rFonts w:ascii="Arial" w:hAnsi="Arial" w:cs="Arial"/>
                <w:b/>
                <w:bCs/>
                <w:sz w:val="20"/>
                <w:szCs w:val="20"/>
              </w:rPr>
            </w:pPr>
            <w:r w:rsidRPr="00EF34F1">
              <w:rPr>
                <w:rFonts w:ascii="Arial" w:hAnsi="Arial" w:cs="Arial"/>
                <w:b/>
                <w:bCs/>
                <w:sz w:val="20"/>
                <w:szCs w:val="20"/>
              </w:rPr>
              <w:t> </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2E7A0A" w:rsidRDefault="00450938">
            <w:pPr>
              <w:rPr>
                <w:rFonts w:ascii="Arial" w:hAnsi="Arial" w:cs="Arial"/>
                <w:i/>
                <w:iCs/>
                <w:sz w:val="20"/>
                <w:szCs w:val="20"/>
              </w:rPr>
            </w:pPr>
            <w:r w:rsidRPr="002E7A0A">
              <w:rPr>
                <w:rFonts w:ascii="Arial" w:hAnsi="Arial" w:cs="Arial"/>
                <w:i/>
                <w:iCs/>
                <w:sz w:val="20"/>
                <w:szCs w:val="20"/>
              </w:rPr>
              <w:t xml:space="preserve">Rate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 </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 </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450938" w:rsidRPr="00EF34F1" w:rsidRDefault="00450938" w:rsidP="0045710D">
            <w:pPr>
              <w:rPr>
                <w:rFonts w:ascii="Arial" w:hAnsi="Arial" w:cs="Arial"/>
                <w:sz w:val="20"/>
                <w:szCs w:val="20"/>
              </w:rPr>
            </w:pPr>
            <w:r w:rsidRPr="00EF34F1">
              <w:rPr>
                <w:rFonts w:ascii="Arial" w:hAnsi="Arial" w:cs="Arial"/>
                <w:sz w:val="20"/>
                <w:szCs w:val="20"/>
              </w:rPr>
              <w:t xml:space="preserve">- basic rate tax payer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 10%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 10%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450938" w:rsidRPr="00EF34F1" w:rsidRDefault="00450938" w:rsidP="0045710D">
            <w:pPr>
              <w:rPr>
                <w:rFonts w:ascii="Arial" w:hAnsi="Arial" w:cs="Arial"/>
                <w:sz w:val="20"/>
                <w:szCs w:val="20"/>
              </w:rPr>
            </w:pPr>
            <w:r w:rsidRPr="00EF34F1">
              <w:rPr>
                <w:rFonts w:ascii="Arial" w:hAnsi="Arial" w:cs="Arial"/>
                <w:sz w:val="20"/>
                <w:szCs w:val="20"/>
              </w:rPr>
              <w:t xml:space="preserve">- higher rate tax payer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 20%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 20%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2E7A0A" w:rsidRDefault="00450938">
            <w:pPr>
              <w:rPr>
                <w:rFonts w:ascii="Arial" w:hAnsi="Arial" w:cs="Arial"/>
                <w:i/>
                <w:iCs/>
                <w:sz w:val="20"/>
                <w:szCs w:val="20"/>
              </w:rPr>
            </w:pPr>
            <w:r w:rsidRPr="002E7A0A">
              <w:rPr>
                <w:rFonts w:ascii="Arial" w:hAnsi="Arial" w:cs="Arial"/>
                <w:i/>
                <w:iCs/>
                <w:sz w:val="20"/>
                <w:szCs w:val="20"/>
              </w:rPr>
              <w:t>Gain on sale of residential property</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450938" w:rsidRPr="00EF34F1" w:rsidRDefault="00450938" w:rsidP="0045710D">
            <w:pPr>
              <w:rPr>
                <w:rFonts w:ascii="Arial" w:hAnsi="Arial" w:cs="Arial"/>
                <w:sz w:val="20"/>
                <w:szCs w:val="20"/>
              </w:rPr>
            </w:pPr>
            <w:r w:rsidRPr="00EF34F1">
              <w:rPr>
                <w:rFonts w:ascii="Arial" w:hAnsi="Arial" w:cs="Arial"/>
                <w:sz w:val="20"/>
                <w:szCs w:val="20"/>
              </w:rPr>
              <w:t xml:space="preserve">- basic rate tax payer </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18%</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18%</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450938" w:rsidRPr="00EF34F1" w:rsidRDefault="00450938" w:rsidP="0045710D">
            <w:pPr>
              <w:rPr>
                <w:rFonts w:ascii="Arial" w:hAnsi="Arial" w:cs="Arial"/>
                <w:sz w:val="20"/>
                <w:szCs w:val="20"/>
              </w:rPr>
            </w:pPr>
            <w:r w:rsidRPr="00EF34F1">
              <w:rPr>
                <w:rFonts w:ascii="Arial" w:hAnsi="Arial" w:cs="Arial"/>
                <w:sz w:val="20"/>
                <w:szCs w:val="20"/>
              </w:rPr>
              <w:t>- higher rate tax payer</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28%</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rsidP="002E7A0A">
            <w:pPr>
              <w:jc w:val="right"/>
              <w:rPr>
                <w:rFonts w:ascii="Arial" w:hAnsi="Arial" w:cs="Arial"/>
                <w:sz w:val="20"/>
                <w:szCs w:val="20"/>
              </w:rPr>
            </w:pPr>
            <w:r w:rsidRPr="00EF34F1">
              <w:rPr>
                <w:rFonts w:ascii="Arial" w:hAnsi="Arial" w:cs="Arial"/>
                <w:sz w:val="20"/>
                <w:szCs w:val="20"/>
              </w:rPr>
              <w:t>28%</w:t>
            </w:r>
          </w:p>
        </w:tc>
      </w:tr>
      <w:tr w:rsidR="00A41687"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A41687" w:rsidRPr="00EF34F1" w:rsidRDefault="00A41687" w:rsidP="00AD77CA">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A41687" w:rsidRPr="00EF34F1" w:rsidRDefault="00A41687" w:rsidP="00AD77CA">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A41687" w:rsidRPr="00EF34F1" w:rsidRDefault="00A41687" w:rsidP="00AD77CA">
            <w:pPr>
              <w:jc w:val="right"/>
              <w:rPr>
                <w:rFonts w:ascii="Arial" w:hAnsi="Arial" w:cs="Arial"/>
                <w:b/>
                <w:bCs/>
                <w:sz w:val="24"/>
                <w:szCs w:val="24"/>
              </w:rPr>
            </w:pPr>
            <w:r w:rsidRPr="00EF34F1">
              <w:rPr>
                <w:rFonts w:ascii="Arial" w:hAnsi="Arial" w:cs="Arial"/>
                <w:b/>
                <w:bCs/>
                <w:sz w:val="24"/>
                <w:szCs w:val="24"/>
              </w:rPr>
              <w:t>2020/21</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Annual exemptions – individuals (per year)</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12,000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12,300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Certain trusts for disabled persons (per year)</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12,000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12,300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450938">
            <w:pPr>
              <w:rPr>
                <w:rFonts w:ascii="Arial" w:hAnsi="Arial" w:cs="Arial"/>
                <w:sz w:val="20"/>
                <w:szCs w:val="20"/>
              </w:rPr>
            </w:pPr>
            <w:r w:rsidRPr="00EF34F1">
              <w:rPr>
                <w:rFonts w:ascii="Arial" w:hAnsi="Arial" w:cs="Arial"/>
                <w:sz w:val="20"/>
                <w:szCs w:val="20"/>
              </w:rPr>
              <w:t>Other trusts (per year)</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6,000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6,150</w:t>
            </w:r>
          </w:p>
        </w:tc>
      </w:tr>
      <w:tr w:rsidR="00450938"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50938" w:rsidRPr="00EF34F1" w:rsidRDefault="000775D6" w:rsidP="000775D6">
            <w:pPr>
              <w:rPr>
                <w:rFonts w:ascii="Arial" w:hAnsi="Arial" w:cs="Arial"/>
                <w:sz w:val="20"/>
                <w:szCs w:val="20"/>
              </w:rPr>
            </w:pPr>
            <w:r w:rsidRPr="00EF34F1">
              <w:rPr>
                <w:rFonts w:ascii="Arial" w:hAnsi="Arial" w:cs="Arial"/>
                <w:sz w:val="20"/>
                <w:szCs w:val="20"/>
              </w:rPr>
              <w:t>Entrepreneurs</w:t>
            </w:r>
            <w:r w:rsidR="002F487B">
              <w:rPr>
                <w:rFonts w:ascii="Arial" w:hAnsi="Arial" w:cs="Arial"/>
                <w:sz w:val="20"/>
                <w:szCs w:val="20"/>
              </w:rPr>
              <w:t>’</w:t>
            </w:r>
            <w:r w:rsidR="00450938" w:rsidRPr="00EF34F1">
              <w:rPr>
                <w:rFonts w:ascii="Arial" w:hAnsi="Arial" w:cs="Arial"/>
                <w:sz w:val="20"/>
                <w:szCs w:val="20"/>
              </w:rPr>
              <w:t xml:space="preserve"> Relief lifetime limit</w:t>
            </w:r>
            <w:r w:rsidR="002F487B">
              <w:rPr>
                <w:rFonts w:ascii="Arial" w:hAnsi="Arial" w:cs="Arial"/>
                <w:sz w:val="20"/>
                <w:szCs w:val="20"/>
              </w:rPr>
              <w:t xml:space="preserve"> (note 1)</w:t>
            </w:r>
          </w:p>
        </w:tc>
        <w:tc>
          <w:tcPr>
            <w:tcW w:w="1842"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10,000,000</w:t>
            </w:r>
          </w:p>
        </w:tc>
        <w:tc>
          <w:tcPr>
            <w:tcW w:w="1700" w:type="dxa"/>
            <w:tcBorders>
              <w:top w:val="single" w:sz="4" w:space="0" w:color="auto"/>
              <w:left w:val="single" w:sz="4" w:space="0" w:color="auto"/>
              <w:bottom w:val="single" w:sz="4" w:space="0" w:color="auto"/>
              <w:right w:val="single" w:sz="4" w:space="0" w:color="auto"/>
            </w:tcBorders>
            <w:noWrap/>
            <w:hideMark/>
          </w:tcPr>
          <w:p w:rsidR="00450938" w:rsidRPr="00EF34F1" w:rsidRDefault="00C931E2" w:rsidP="00A41687">
            <w:pPr>
              <w:jc w:val="right"/>
              <w:rPr>
                <w:rFonts w:ascii="Arial" w:hAnsi="Arial" w:cs="Arial"/>
                <w:sz w:val="20"/>
                <w:szCs w:val="20"/>
              </w:rPr>
            </w:pPr>
            <w:r>
              <w:rPr>
                <w:rFonts w:ascii="Arial" w:hAnsi="Arial" w:cs="Arial"/>
                <w:sz w:val="20"/>
                <w:szCs w:val="20"/>
              </w:rPr>
              <w:t>£</w:t>
            </w:r>
            <w:r w:rsidR="00450938" w:rsidRPr="00EF34F1">
              <w:rPr>
                <w:rFonts w:ascii="Arial" w:hAnsi="Arial" w:cs="Arial"/>
                <w:sz w:val="20"/>
                <w:szCs w:val="20"/>
              </w:rPr>
              <w:t>1,000,000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pPr>
              <w:rPr>
                <w:rFonts w:ascii="Arial" w:hAnsi="Arial" w:cs="Arial"/>
                <w:sz w:val="20"/>
                <w:szCs w:val="20"/>
              </w:rPr>
            </w:pPr>
            <w:r w:rsidRPr="00EF34F1">
              <w:rPr>
                <w:rFonts w:ascii="Arial" w:hAnsi="Arial" w:cs="Arial"/>
                <w:sz w:val="20"/>
                <w:szCs w:val="20"/>
              </w:rPr>
              <w:t>Investors</w:t>
            </w:r>
            <w:r w:rsidR="002F487B">
              <w:rPr>
                <w:rFonts w:ascii="Arial" w:hAnsi="Arial" w:cs="Arial"/>
                <w:sz w:val="20"/>
                <w:szCs w:val="20"/>
              </w:rPr>
              <w:t>’</w:t>
            </w:r>
            <w:r w:rsidRPr="00EF34F1">
              <w:rPr>
                <w:rFonts w:ascii="Arial" w:hAnsi="Arial" w:cs="Arial"/>
                <w:sz w:val="20"/>
                <w:szCs w:val="20"/>
              </w:rPr>
              <w:t xml:space="preserve"> Relief lifetime limit</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C931E2" w:rsidP="00A4168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10,000,000</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C931E2" w:rsidP="00A4168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10,000,000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Entrepreneurs</w:t>
            </w:r>
            <w:r w:rsidR="002F487B">
              <w:rPr>
                <w:rFonts w:ascii="Arial" w:hAnsi="Arial" w:cs="Arial"/>
                <w:sz w:val="20"/>
                <w:szCs w:val="20"/>
              </w:rPr>
              <w:t>’</w:t>
            </w:r>
            <w:r w:rsidRPr="00EF34F1">
              <w:rPr>
                <w:rFonts w:ascii="Arial" w:hAnsi="Arial" w:cs="Arial"/>
                <w:sz w:val="20"/>
                <w:szCs w:val="20"/>
              </w:rPr>
              <w:t>/Investors</w:t>
            </w:r>
            <w:r w:rsidR="002F487B">
              <w:rPr>
                <w:rFonts w:ascii="Arial" w:hAnsi="Arial" w:cs="Arial"/>
                <w:sz w:val="20"/>
                <w:szCs w:val="20"/>
              </w:rPr>
              <w:t>’</w:t>
            </w:r>
            <w:r w:rsidRPr="00EF34F1">
              <w:rPr>
                <w:rFonts w:ascii="Arial" w:hAnsi="Arial" w:cs="Arial"/>
                <w:sz w:val="20"/>
                <w:szCs w:val="20"/>
              </w:rPr>
              <w:t xml:space="preserve"> </w:t>
            </w:r>
            <w:r w:rsidR="002F487B">
              <w:rPr>
                <w:rFonts w:ascii="Arial" w:hAnsi="Arial" w:cs="Arial"/>
                <w:sz w:val="20"/>
                <w:szCs w:val="20"/>
              </w:rPr>
              <w:t>r</w:t>
            </w:r>
            <w:r w:rsidRPr="00EF34F1">
              <w:rPr>
                <w:rFonts w:ascii="Arial" w:hAnsi="Arial" w:cs="Arial"/>
                <w:sz w:val="20"/>
                <w:szCs w:val="20"/>
              </w:rPr>
              <w:t>ate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A41687">
            <w:pPr>
              <w:jc w:val="right"/>
              <w:rPr>
                <w:rFonts w:ascii="Arial" w:hAnsi="Arial" w:cs="Arial"/>
                <w:sz w:val="20"/>
                <w:szCs w:val="20"/>
              </w:rPr>
            </w:pPr>
            <w:r w:rsidRPr="00EF34F1">
              <w:rPr>
                <w:rFonts w:ascii="Arial" w:hAnsi="Arial" w:cs="Arial"/>
                <w:sz w:val="20"/>
                <w:szCs w:val="20"/>
              </w:rPr>
              <w:t>10%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A41687">
            <w:pPr>
              <w:jc w:val="right"/>
              <w:rPr>
                <w:rFonts w:ascii="Arial" w:hAnsi="Arial" w:cs="Arial"/>
                <w:sz w:val="20"/>
                <w:szCs w:val="20"/>
              </w:rPr>
            </w:pPr>
            <w:r w:rsidRPr="00EF34F1">
              <w:rPr>
                <w:rFonts w:ascii="Arial" w:hAnsi="Arial" w:cs="Arial"/>
                <w:sz w:val="20"/>
                <w:szCs w:val="20"/>
              </w:rPr>
              <w:t>10%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Chattels exemption </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C931E2" w:rsidP="00A4168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6,000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C931E2" w:rsidP="00A4168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6,000</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0F689E" w:rsidRDefault="00BC4F92" w:rsidP="001456FA">
            <w:pPr>
              <w:rPr>
                <w:rFonts w:ascii="Arial" w:hAnsi="Arial" w:cs="Arial"/>
                <w:sz w:val="18"/>
                <w:szCs w:val="18"/>
              </w:rPr>
            </w:pPr>
            <w:r w:rsidRPr="000F689E">
              <w:rPr>
                <w:rFonts w:ascii="Arial" w:hAnsi="Arial" w:cs="Arial"/>
                <w:bCs/>
                <w:i/>
                <w:sz w:val="18"/>
                <w:szCs w:val="18"/>
              </w:rPr>
              <w:t xml:space="preserve">Note </w:t>
            </w:r>
            <w:r w:rsidR="001456FA" w:rsidRPr="000F689E">
              <w:rPr>
                <w:rFonts w:ascii="Arial" w:hAnsi="Arial" w:cs="Arial"/>
                <w:bCs/>
                <w:i/>
                <w:sz w:val="18"/>
                <w:szCs w:val="18"/>
              </w:rPr>
              <w:t>1</w:t>
            </w:r>
            <w:r w:rsidRPr="000F689E">
              <w:rPr>
                <w:rFonts w:ascii="Arial" w:hAnsi="Arial" w:cs="Arial"/>
                <w:bCs/>
                <w:i/>
                <w:sz w:val="18"/>
                <w:szCs w:val="18"/>
              </w:rPr>
              <w:t>:</w:t>
            </w:r>
            <w:r w:rsidR="001456FA" w:rsidRPr="000F689E">
              <w:rPr>
                <w:rFonts w:ascii="Arial" w:hAnsi="Arial" w:cs="Arial"/>
                <w:bCs/>
                <w:i/>
                <w:sz w:val="18"/>
                <w:szCs w:val="18"/>
              </w:rPr>
              <w:t xml:space="preserve"> Entrepreneurs</w:t>
            </w:r>
            <w:r w:rsidRPr="000F689E">
              <w:rPr>
                <w:rFonts w:ascii="Arial" w:hAnsi="Arial" w:cs="Arial"/>
                <w:bCs/>
                <w:i/>
                <w:sz w:val="18"/>
                <w:szCs w:val="18"/>
              </w:rPr>
              <w:t>’</w:t>
            </w:r>
            <w:r w:rsidR="001456FA" w:rsidRPr="000F689E">
              <w:rPr>
                <w:rFonts w:ascii="Arial" w:hAnsi="Arial" w:cs="Arial"/>
                <w:bCs/>
                <w:i/>
                <w:sz w:val="18"/>
                <w:szCs w:val="18"/>
              </w:rPr>
              <w:t xml:space="preserve"> </w:t>
            </w:r>
            <w:r w:rsidRPr="000F689E">
              <w:rPr>
                <w:rFonts w:ascii="Arial" w:hAnsi="Arial" w:cs="Arial"/>
                <w:bCs/>
                <w:i/>
                <w:sz w:val="18"/>
                <w:szCs w:val="18"/>
              </w:rPr>
              <w:t>R</w:t>
            </w:r>
            <w:r w:rsidR="001456FA" w:rsidRPr="000F689E">
              <w:rPr>
                <w:rFonts w:ascii="Arial" w:hAnsi="Arial" w:cs="Arial"/>
                <w:bCs/>
                <w:i/>
                <w:sz w:val="18"/>
                <w:szCs w:val="18"/>
              </w:rPr>
              <w:t>elief lifetime limit is reduced from £10m to £1m for disposals made on or after 11 March 2020.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Inheritance tax</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450938">
            <w:pPr>
              <w:jc w:val="center"/>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450938">
            <w:pPr>
              <w:jc w:val="center"/>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Single person</w:t>
            </w:r>
            <w:r w:rsidR="00156952">
              <w:rPr>
                <w:rFonts w:ascii="Arial" w:hAnsi="Arial" w:cs="Arial"/>
                <w:sz w:val="20"/>
                <w:szCs w:val="20"/>
              </w:rPr>
              <w:t>’</w:t>
            </w:r>
            <w:r w:rsidRPr="00EF34F1">
              <w:rPr>
                <w:rFonts w:ascii="Arial" w:hAnsi="Arial" w:cs="Arial"/>
                <w:sz w:val="20"/>
                <w:szCs w:val="20"/>
              </w:rPr>
              <w:t>s nil</w:t>
            </w:r>
            <w:r w:rsidR="00156952">
              <w:rPr>
                <w:rFonts w:ascii="Arial" w:hAnsi="Arial" w:cs="Arial"/>
                <w:sz w:val="20"/>
                <w:szCs w:val="20"/>
              </w:rPr>
              <w:t>-</w:t>
            </w:r>
            <w:r w:rsidRPr="00EF34F1">
              <w:rPr>
                <w:rFonts w:ascii="Arial" w:hAnsi="Arial" w:cs="Arial"/>
                <w:sz w:val="20"/>
                <w:szCs w:val="20"/>
              </w:rPr>
              <w:t>rate band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w:t>
            </w:r>
            <w:r>
              <w:rPr>
                <w:rFonts w:ascii="Arial" w:hAnsi="Arial" w:cs="Arial"/>
                <w:sz w:val="20"/>
                <w:szCs w:val="20"/>
              </w:rPr>
              <w:t>-£</w:t>
            </w:r>
            <w:r w:rsidR="000775D6" w:rsidRPr="00EF34F1">
              <w:rPr>
                <w:rFonts w:ascii="Arial" w:hAnsi="Arial" w:cs="Arial"/>
                <w:sz w:val="20"/>
                <w:szCs w:val="20"/>
              </w:rPr>
              <w:t>325,000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Pr="00EF34F1">
              <w:rPr>
                <w:rFonts w:ascii="Arial" w:hAnsi="Arial" w:cs="Arial"/>
                <w:sz w:val="20"/>
                <w:szCs w:val="20"/>
              </w:rPr>
              <w:t>1</w:t>
            </w:r>
            <w:r>
              <w:rPr>
                <w:rFonts w:ascii="Arial" w:hAnsi="Arial" w:cs="Arial"/>
                <w:sz w:val="20"/>
                <w:szCs w:val="20"/>
              </w:rPr>
              <w:t>-£</w:t>
            </w:r>
            <w:r w:rsidRPr="00EF34F1">
              <w:rPr>
                <w:rFonts w:ascii="Arial" w:hAnsi="Arial" w:cs="Arial"/>
                <w:sz w:val="20"/>
                <w:szCs w:val="20"/>
              </w:rPr>
              <w:t>325,000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Single person</w:t>
            </w:r>
            <w:r w:rsidR="00156952">
              <w:rPr>
                <w:rFonts w:ascii="Arial" w:hAnsi="Arial" w:cs="Arial"/>
                <w:sz w:val="20"/>
                <w:szCs w:val="20"/>
              </w:rPr>
              <w:t>’</w:t>
            </w:r>
            <w:r w:rsidRPr="00EF34F1">
              <w:rPr>
                <w:rFonts w:ascii="Arial" w:hAnsi="Arial" w:cs="Arial"/>
                <w:sz w:val="20"/>
                <w:szCs w:val="20"/>
              </w:rPr>
              <w:t>s 40% band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 xml:space="preserve">over </w:t>
            </w:r>
            <w:r w:rsidR="0099769F">
              <w:rPr>
                <w:rFonts w:ascii="Arial" w:hAnsi="Arial" w:cs="Arial"/>
                <w:sz w:val="20"/>
                <w:szCs w:val="20"/>
              </w:rPr>
              <w:t>£</w:t>
            </w:r>
            <w:r w:rsidRPr="00EF34F1">
              <w:rPr>
                <w:rFonts w:ascii="Arial" w:hAnsi="Arial" w:cs="Arial"/>
                <w:sz w:val="20"/>
                <w:szCs w:val="20"/>
              </w:rPr>
              <w:t>325,000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 xml:space="preserve">over </w:t>
            </w:r>
            <w:r w:rsidR="0099769F">
              <w:rPr>
                <w:rFonts w:ascii="Arial" w:hAnsi="Arial" w:cs="Arial"/>
                <w:sz w:val="20"/>
                <w:szCs w:val="20"/>
              </w:rPr>
              <w:t>£</w:t>
            </w:r>
            <w:r w:rsidRPr="00EF34F1">
              <w:rPr>
                <w:rFonts w:ascii="Arial" w:hAnsi="Arial" w:cs="Arial"/>
                <w:sz w:val="20"/>
                <w:szCs w:val="20"/>
              </w:rPr>
              <w:t>325,000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Residence nil</w:t>
            </w:r>
            <w:r w:rsidR="00156952">
              <w:rPr>
                <w:rFonts w:ascii="Arial" w:hAnsi="Arial" w:cs="Arial"/>
                <w:sz w:val="20"/>
                <w:szCs w:val="20"/>
              </w:rPr>
              <w:t>-</w:t>
            </w:r>
            <w:r w:rsidRPr="00EF34F1">
              <w:rPr>
                <w:rFonts w:ascii="Arial" w:hAnsi="Arial" w:cs="Arial"/>
                <w:sz w:val="20"/>
                <w:szCs w:val="20"/>
              </w:rPr>
              <w:t xml:space="preserve">rate band (RNRB) – maximum </w:t>
            </w:r>
            <w:r w:rsidR="00156952">
              <w:rPr>
                <w:rFonts w:ascii="Arial" w:hAnsi="Arial" w:cs="Arial"/>
                <w:sz w:val="20"/>
                <w:szCs w:val="20"/>
              </w:rPr>
              <w:t>(</w:t>
            </w:r>
            <w:r w:rsidRPr="00EF34F1">
              <w:rPr>
                <w:rFonts w:ascii="Arial" w:hAnsi="Arial" w:cs="Arial"/>
                <w:sz w:val="20"/>
                <w:szCs w:val="20"/>
              </w:rPr>
              <w:t xml:space="preserve">note </w:t>
            </w:r>
            <w:r w:rsidR="000F689E">
              <w:rPr>
                <w:rFonts w:ascii="Arial" w:hAnsi="Arial" w:cs="Arial"/>
                <w:sz w:val="20"/>
                <w:szCs w:val="20"/>
              </w:rPr>
              <w:t>1</w:t>
            </w:r>
            <w:r w:rsidR="00156952">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150,000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175,000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Reduced rate </w:t>
            </w:r>
            <w:r w:rsidR="00156952">
              <w:rPr>
                <w:rFonts w:ascii="Arial" w:hAnsi="Arial" w:cs="Arial"/>
                <w:sz w:val="20"/>
                <w:szCs w:val="20"/>
              </w:rPr>
              <w:t>(</w:t>
            </w:r>
            <w:r w:rsidRPr="00EF34F1">
              <w:rPr>
                <w:rFonts w:ascii="Arial" w:hAnsi="Arial" w:cs="Arial"/>
                <w:sz w:val="20"/>
                <w:szCs w:val="20"/>
              </w:rPr>
              <w:t xml:space="preserve">note </w:t>
            </w:r>
            <w:r w:rsidR="007C170D">
              <w:rPr>
                <w:rFonts w:ascii="Arial" w:hAnsi="Arial" w:cs="Arial"/>
                <w:sz w:val="20"/>
                <w:szCs w:val="20"/>
              </w:rPr>
              <w:t>2</w:t>
            </w:r>
            <w:r w:rsidR="00156952">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36%</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36%</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IHT </w:t>
            </w:r>
            <w:r w:rsidR="00156952">
              <w:rPr>
                <w:rFonts w:ascii="Arial" w:hAnsi="Arial" w:cs="Arial"/>
                <w:sz w:val="20"/>
                <w:szCs w:val="20"/>
              </w:rPr>
              <w:t>r</w:t>
            </w:r>
            <w:r w:rsidRPr="00EF34F1">
              <w:rPr>
                <w:rFonts w:ascii="Arial" w:hAnsi="Arial" w:cs="Arial"/>
                <w:sz w:val="20"/>
                <w:szCs w:val="20"/>
              </w:rPr>
              <w:t>ate (for chargeable lifetime transfers)</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20%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20%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Married couples or civil partnerships allowance nil</w:t>
            </w:r>
            <w:r w:rsidR="00156952">
              <w:rPr>
                <w:rFonts w:ascii="Arial" w:hAnsi="Arial" w:cs="Arial"/>
                <w:sz w:val="20"/>
                <w:szCs w:val="20"/>
              </w:rPr>
              <w:t>-</w:t>
            </w:r>
            <w:r w:rsidRPr="00EF34F1">
              <w:rPr>
                <w:rFonts w:ascii="Arial" w:hAnsi="Arial" w:cs="Arial"/>
                <w:sz w:val="20"/>
                <w:szCs w:val="20"/>
              </w:rPr>
              <w:t>rate band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650,000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650,000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Gifts to charities</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Exempt</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911037">
            <w:pPr>
              <w:jc w:val="right"/>
              <w:rPr>
                <w:rFonts w:ascii="Arial" w:hAnsi="Arial" w:cs="Arial"/>
                <w:sz w:val="20"/>
                <w:szCs w:val="20"/>
              </w:rPr>
            </w:pPr>
            <w:r w:rsidRPr="00EF34F1">
              <w:rPr>
                <w:rFonts w:ascii="Arial" w:hAnsi="Arial" w:cs="Arial"/>
                <w:sz w:val="20"/>
                <w:szCs w:val="20"/>
              </w:rPr>
              <w:t>Exempt</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Small gifts to same person</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250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250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General gifts</w:t>
            </w:r>
            <w:r w:rsidR="006256F0">
              <w:rPr>
                <w:rFonts w:ascii="Arial" w:hAnsi="Arial" w:cs="Arial"/>
                <w:sz w:val="20"/>
                <w:szCs w:val="20"/>
              </w:rPr>
              <w:t xml:space="preserve"> –</w:t>
            </w:r>
            <w:r w:rsidRPr="00EF34F1">
              <w:rPr>
                <w:rFonts w:ascii="Arial" w:hAnsi="Arial" w:cs="Arial"/>
                <w:sz w:val="20"/>
                <w:szCs w:val="20"/>
              </w:rPr>
              <w:t xml:space="preserve"> annual exemption</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3,000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99769F"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3,000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0775D6" w:rsidRPr="00EF34F1" w:rsidRDefault="001150B4">
            <w:pPr>
              <w:rPr>
                <w:rFonts w:ascii="Arial" w:hAnsi="Arial" w:cs="Arial"/>
                <w:sz w:val="20"/>
                <w:szCs w:val="20"/>
              </w:rPr>
            </w:pPr>
            <w:r w:rsidRPr="00EF34F1">
              <w:rPr>
                <w:rFonts w:ascii="Arial" w:hAnsi="Arial" w:cs="Arial"/>
                <w:sz w:val="20"/>
                <w:szCs w:val="20"/>
              </w:rPr>
              <w:t xml:space="preserve">Wedding gifts from </w:t>
            </w:r>
            <w:r>
              <w:rPr>
                <w:rFonts w:ascii="Arial" w:hAnsi="Arial" w:cs="Arial"/>
                <w:sz w:val="20"/>
                <w:szCs w:val="20"/>
              </w:rPr>
              <w:t>p</w:t>
            </w:r>
            <w:r w:rsidR="000775D6" w:rsidRPr="00EF34F1">
              <w:rPr>
                <w:rFonts w:ascii="Arial" w:hAnsi="Arial" w:cs="Arial"/>
                <w:sz w:val="20"/>
                <w:szCs w:val="20"/>
              </w:rPr>
              <w:t>arent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1150B4"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5,000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1150B4"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5,000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0775D6" w:rsidRPr="00EF34F1" w:rsidRDefault="001150B4">
            <w:pPr>
              <w:rPr>
                <w:rFonts w:ascii="Arial" w:hAnsi="Arial" w:cs="Arial"/>
                <w:sz w:val="20"/>
                <w:szCs w:val="20"/>
              </w:rPr>
            </w:pPr>
            <w:r w:rsidRPr="00EF34F1">
              <w:rPr>
                <w:rFonts w:ascii="Arial" w:hAnsi="Arial" w:cs="Arial"/>
                <w:sz w:val="20"/>
                <w:szCs w:val="20"/>
              </w:rPr>
              <w:t xml:space="preserve">Wedding gifts from </w:t>
            </w:r>
            <w:r>
              <w:rPr>
                <w:rFonts w:ascii="Arial" w:hAnsi="Arial" w:cs="Arial"/>
                <w:sz w:val="20"/>
                <w:szCs w:val="20"/>
              </w:rPr>
              <w:t>g</w:t>
            </w:r>
            <w:r w:rsidR="000775D6" w:rsidRPr="00EF34F1">
              <w:rPr>
                <w:rFonts w:ascii="Arial" w:hAnsi="Arial" w:cs="Arial"/>
                <w:sz w:val="20"/>
                <w:szCs w:val="20"/>
              </w:rPr>
              <w:t>randparent/party</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1150B4"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2,500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1150B4"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2,500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hideMark/>
          </w:tcPr>
          <w:p w:rsidR="000775D6" w:rsidRPr="00EF34F1" w:rsidRDefault="001150B4">
            <w:pPr>
              <w:rPr>
                <w:rFonts w:ascii="Arial" w:hAnsi="Arial" w:cs="Arial"/>
                <w:sz w:val="20"/>
                <w:szCs w:val="20"/>
              </w:rPr>
            </w:pPr>
            <w:r w:rsidRPr="00EF34F1">
              <w:rPr>
                <w:rFonts w:ascii="Arial" w:hAnsi="Arial" w:cs="Arial"/>
                <w:sz w:val="20"/>
                <w:szCs w:val="20"/>
              </w:rPr>
              <w:t xml:space="preserve">Wedding gifts from </w:t>
            </w:r>
            <w:r>
              <w:rPr>
                <w:rFonts w:ascii="Arial" w:hAnsi="Arial" w:cs="Arial"/>
                <w:sz w:val="20"/>
                <w:szCs w:val="20"/>
              </w:rPr>
              <w:t>o</w:t>
            </w:r>
            <w:r w:rsidR="000775D6" w:rsidRPr="00EF34F1">
              <w:rPr>
                <w:rFonts w:ascii="Arial" w:hAnsi="Arial" w:cs="Arial"/>
                <w:sz w:val="20"/>
                <w:szCs w:val="20"/>
              </w:rPr>
              <w:t>ther person</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1150B4"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1150B4" w:rsidP="00911037">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1,000</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0F689E" w:rsidRPr="00F03E34" w:rsidRDefault="0030101A" w:rsidP="0030101A">
            <w:pPr>
              <w:ind w:left="360"/>
              <w:rPr>
                <w:rFonts w:ascii="Arial" w:hAnsi="Arial" w:cs="Arial"/>
                <w:i/>
                <w:sz w:val="19"/>
                <w:szCs w:val="19"/>
              </w:rPr>
            </w:pPr>
            <w:r w:rsidRPr="00F03E34">
              <w:rPr>
                <w:rFonts w:ascii="Arial" w:hAnsi="Arial" w:cs="Arial"/>
                <w:i/>
                <w:sz w:val="19"/>
                <w:szCs w:val="19"/>
              </w:rPr>
              <w:t xml:space="preserve">Note 1: </w:t>
            </w:r>
            <w:r w:rsidR="000F689E" w:rsidRPr="00F03E34">
              <w:rPr>
                <w:rFonts w:ascii="Arial" w:hAnsi="Arial" w:cs="Arial"/>
                <w:i/>
                <w:sz w:val="19"/>
                <w:szCs w:val="19"/>
              </w:rPr>
              <w:t>The RNRB is available in respect of a main residence given away to children (including adopted, foster or stepchildren). Any unused nil</w:t>
            </w:r>
            <w:r w:rsidRPr="00F03E34">
              <w:rPr>
                <w:rFonts w:ascii="Arial" w:hAnsi="Arial" w:cs="Arial"/>
                <w:i/>
                <w:sz w:val="19"/>
                <w:szCs w:val="19"/>
              </w:rPr>
              <w:t>-</w:t>
            </w:r>
            <w:r w:rsidR="000F689E" w:rsidRPr="00F03E34">
              <w:rPr>
                <w:rFonts w:ascii="Arial" w:hAnsi="Arial" w:cs="Arial"/>
                <w:i/>
                <w:sz w:val="19"/>
                <w:szCs w:val="19"/>
              </w:rPr>
              <w:t>rate band transfers to the deceased’s spouse or civil partner, even where death predates the availability of the additional threshold. It applies in addition to the existing nil</w:t>
            </w:r>
            <w:r w:rsidRPr="00F03E34">
              <w:rPr>
                <w:rFonts w:ascii="Arial" w:hAnsi="Arial" w:cs="Arial"/>
                <w:i/>
                <w:sz w:val="19"/>
                <w:szCs w:val="19"/>
              </w:rPr>
              <w:t>-</w:t>
            </w:r>
            <w:r w:rsidR="000F689E" w:rsidRPr="00F03E34">
              <w:rPr>
                <w:rFonts w:ascii="Arial" w:hAnsi="Arial" w:cs="Arial"/>
                <w:i/>
                <w:sz w:val="19"/>
                <w:szCs w:val="19"/>
              </w:rPr>
              <w:t>rate band (NRB) or threshold (currently £325,000) if the individual and estate meet the qualifying conditions.</w:t>
            </w:r>
          </w:p>
          <w:p w:rsidR="001456FA" w:rsidRPr="00B3278B" w:rsidRDefault="0030101A" w:rsidP="00B3278B">
            <w:pPr>
              <w:ind w:left="360"/>
              <w:rPr>
                <w:rFonts w:ascii="Arial" w:hAnsi="Arial" w:cs="Arial"/>
                <w:i/>
                <w:sz w:val="20"/>
                <w:szCs w:val="20"/>
              </w:rPr>
            </w:pPr>
            <w:r w:rsidRPr="00F03E34">
              <w:rPr>
                <w:rFonts w:ascii="Arial" w:hAnsi="Arial" w:cs="Arial"/>
                <w:i/>
                <w:sz w:val="19"/>
                <w:szCs w:val="19"/>
              </w:rPr>
              <w:t xml:space="preserve">Note 2: </w:t>
            </w:r>
            <w:r w:rsidR="001456FA" w:rsidRPr="00F03E34">
              <w:rPr>
                <w:rFonts w:ascii="Arial" w:hAnsi="Arial" w:cs="Arial"/>
                <w:i/>
                <w:sz w:val="19"/>
                <w:szCs w:val="19"/>
              </w:rPr>
              <w:t>The estate can pay </w:t>
            </w:r>
            <w:r w:rsidR="006209E4" w:rsidRPr="00F03E34">
              <w:rPr>
                <w:rFonts w:ascii="Arial" w:hAnsi="Arial" w:cs="Arial"/>
                <w:i/>
                <w:sz w:val="19"/>
                <w:szCs w:val="19"/>
              </w:rPr>
              <w:t>i</w:t>
            </w:r>
            <w:r w:rsidR="001456FA" w:rsidRPr="00F03E34">
              <w:rPr>
                <w:rFonts w:ascii="Arial" w:hAnsi="Arial" w:cs="Arial"/>
                <w:i/>
                <w:sz w:val="19"/>
                <w:szCs w:val="19"/>
              </w:rPr>
              <w:t xml:space="preserve">nheritance </w:t>
            </w:r>
            <w:r w:rsidR="006209E4" w:rsidRPr="00F03E34">
              <w:rPr>
                <w:rFonts w:ascii="Arial" w:hAnsi="Arial" w:cs="Arial"/>
                <w:i/>
                <w:sz w:val="19"/>
                <w:szCs w:val="19"/>
              </w:rPr>
              <w:t>t</w:t>
            </w:r>
            <w:r w:rsidR="001456FA" w:rsidRPr="00F03E34">
              <w:rPr>
                <w:rFonts w:ascii="Arial" w:hAnsi="Arial" w:cs="Arial"/>
                <w:i/>
                <w:sz w:val="19"/>
                <w:szCs w:val="19"/>
              </w:rPr>
              <w:t>ax at a reduced rate of 36% on some assets if you leave 10% or more of the net value to charity in your will.</w:t>
            </w:r>
          </w:p>
        </w:tc>
      </w:tr>
      <w:tr w:rsidR="004D369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D3696" w:rsidRPr="004D3696" w:rsidRDefault="004D3696" w:rsidP="00AD77CA">
            <w:pPr>
              <w:rPr>
                <w:rFonts w:ascii="Arial" w:hAnsi="Arial" w:cs="Arial"/>
                <w:b/>
                <w:bCs/>
                <w:sz w:val="20"/>
                <w:szCs w:val="20"/>
              </w:rPr>
            </w:pPr>
            <w:r w:rsidRPr="004D3696">
              <w:rPr>
                <w:rFonts w:ascii="Arial" w:hAnsi="Arial" w:cs="Arial"/>
                <w:b/>
                <w:bCs/>
                <w:sz w:val="20"/>
                <w:szCs w:val="20"/>
              </w:rPr>
              <w:t>Business Property Relief</w:t>
            </w:r>
          </w:p>
        </w:tc>
        <w:tc>
          <w:tcPr>
            <w:tcW w:w="1842" w:type="dxa"/>
            <w:tcBorders>
              <w:top w:val="single" w:sz="4" w:space="0" w:color="auto"/>
              <w:left w:val="single" w:sz="4" w:space="0" w:color="auto"/>
              <w:bottom w:val="single" w:sz="4" w:space="0" w:color="auto"/>
              <w:right w:val="single" w:sz="4" w:space="0" w:color="auto"/>
            </w:tcBorders>
            <w:noWrap/>
            <w:hideMark/>
          </w:tcPr>
          <w:p w:rsidR="004D3696" w:rsidRPr="00EF34F1" w:rsidRDefault="004D3696" w:rsidP="00AD77CA">
            <w:pPr>
              <w:jc w:val="right"/>
              <w:rPr>
                <w:rFonts w:ascii="Arial" w:hAnsi="Arial" w:cs="Arial"/>
                <w:sz w:val="20"/>
                <w:szCs w:val="20"/>
              </w:rPr>
            </w:pPr>
            <w:r w:rsidRPr="00EF34F1">
              <w:rPr>
                <w:rFonts w:ascii="Arial" w:hAnsi="Arial" w:cs="Arial"/>
                <w:sz w:val="20"/>
                <w:szCs w:val="20"/>
              </w:rPr>
              <w:t> </w:t>
            </w:r>
          </w:p>
        </w:tc>
        <w:tc>
          <w:tcPr>
            <w:tcW w:w="1700" w:type="dxa"/>
            <w:tcBorders>
              <w:top w:val="single" w:sz="4" w:space="0" w:color="auto"/>
              <w:left w:val="single" w:sz="4" w:space="0" w:color="auto"/>
              <w:bottom w:val="single" w:sz="4" w:space="0" w:color="auto"/>
              <w:right w:val="single" w:sz="4" w:space="0" w:color="auto"/>
            </w:tcBorders>
            <w:noWrap/>
            <w:hideMark/>
          </w:tcPr>
          <w:p w:rsidR="004D3696" w:rsidRPr="00EF34F1" w:rsidRDefault="004D3696" w:rsidP="00AD77CA">
            <w:pPr>
              <w:jc w:val="right"/>
              <w:rPr>
                <w:rFonts w:ascii="Arial" w:hAnsi="Arial" w:cs="Arial"/>
                <w:sz w:val="20"/>
                <w:szCs w:val="20"/>
              </w:rPr>
            </w:pPr>
            <w:r w:rsidRPr="00EF34F1">
              <w:rPr>
                <w:rFonts w:ascii="Arial" w:hAnsi="Arial" w:cs="Arial"/>
                <w:sz w:val="20"/>
                <w:szCs w:val="20"/>
              </w:rPr>
              <w:t> </w:t>
            </w:r>
          </w:p>
        </w:tc>
      </w:tr>
      <w:tr w:rsidR="004D369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4D3696" w:rsidRPr="00EF34F1" w:rsidRDefault="004D3696" w:rsidP="00AD77CA">
            <w:pPr>
              <w:rPr>
                <w:rFonts w:ascii="Arial" w:hAnsi="Arial" w:cs="Arial"/>
                <w:sz w:val="20"/>
                <w:szCs w:val="20"/>
              </w:rPr>
            </w:pPr>
            <w:r w:rsidRPr="00EF34F1">
              <w:rPr>
                <w:rFonts w:ascii="Arial" w:hAnsi="Arial" w:cs="Arial"/>
                <w:sz w:val="20"/>
                <w:szCs w:val="20"/>
              </w:rPr>
              <w:t>Business or interest in a business and transfer if unquoted shareholdings</w:t>
            </w:r>
          </w:p>
        </w:tc>
        <w:tc>
          <w:tcPr>
            <w:tcW w:w="1842" w:type="dxa"/>
            <w:tcBorders>
              <w:top w:val="single" w:sz="4" w:space="0" w:color="auto"/>
              <w:left w:val="single" w:sz="4" w:space="0" w:color="auto"/>
              <w:bottom w:val="single" w:sz="4" w:space="0" w:color="auto"/>
              <w:right w:val="single" w:sz="4" w:space="0" w:color="auto"/>
            </w:tcBorders>
            <w:hideMark/>
          </w:tcPr>
          <w:p w:rsidR="004D3696" w:rsidRPr="00EF34F1" w:rsidRDefault="004D3696" w:rsidP="00AD77CA">
            <w:pPr>
              <w:jc w:val="right"/>
              <w:rPr>
                <w:rFonts w:ascii="Arial" w:hAnsi="Arial" w:cs="Arial"/>
                <w:sz w:val="20"/>
                <w:szCs w:val="20"/>
              </w:rPr>
            </w:pPr>
            <w:r w:rsidRPr="00EF34F1">
              <w:rPr>
                <w:rFonts w:ascii="Arial" w:hAnsi="Arial" w:cs="Arial"/>
                <w:sz w:val="20"/>
                <w:szCs w:val="20"/>
              </w:rPr>
              <w:t> 100%</w:t>
            </w:r>
          </w:p>
        </w:tc>
        <w:tc>
          <w:tcPr>
            <w:tcW w:w="1700" w:type="dxa"/>
            <w:tcBorders>
              <w:top w:val="single" w:sz="4" w:space="0" w:color="auto"/>
              <w:left w:val="single" w:sz="4" w:space="0" w:color="auto"/>
              <w:bottom w:val="single" w:sz="4" w:space="0" w:color="auto"/>
              <w:right w:val="single" w:sz="4" w:space="0" w:color="auto"/>
            </w:tcBorders>
            <w:hideMark/>
          </w:tcPr>
          <w:p w:rsidR="004D3696" w:rsidRPr="00EF34F1" w:rsidRDefault="004D3696" w:rsidP="00AD77CA">
            <w:pPr>
              <w:jc w:val="right"/>
              <w:rPr>
                <w:rFonts w:ascii="Arial" w:hAnsi="Arial" w:cs="Arial"/>
                <w:sz w:val="20"/>
                <w:szCs w:val="20"/>
              </w:rPr>
            </w:pPr>
            <w:r w:rsidRPr="00EF34F1">
              <w:rPr>
                <w:rFonts w:ascii="Arial" w:hAnsi="Arial" w:cs="Arial"/>
                <w:sz w:val="20"/>
                <w:szCs w:val="20"/>
              </w:rPr>
              <w:t> 100%</w:t>
            </w:r>
          </w:p>
        </w:tc>
      </w:tr>
      <w:tr w:rsidR="008C1628"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8C1628" w:rsidRPr="00EF34F1" w:rsidRDefault="008C1628" w:rsidP="00AD77CA">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8C1628" w:rsidRPr="00EF34F1" w:rsidRDefault="008C1628" w:rsidP="00AD77CA">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8C1628" w:rsidRPr="00EF34F1" w:rsidRDefault="008C1628" w:rsidP="00AD77CA">
            <w:pPr>
              <w:jc w:val="right"/>
              <w:rPr>
                <w:rFonts w:ascii="Arial" w:hAnsi="Arial" w:cs="Arial"/>
                <w:b/>
                <w:bCs/>
                <w:sz w:val="24"/>
                <w:szCs w:val="24"/>
              </w:rPr>
            </w:pPr>
            <w:r w:rsidRPr="00EF34F1">
              <w:rPr>
                <w:rFonts w:ascii="Arial" w:hAnsi="Arial" w:cs="Arial"/>
                <w:b/>
                <w:bCs/>
                <w:sz w:val="24"/>
                <w:szCs w:val="24"/>
              </w:rPr>
              <w:t>2020/21</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Taxation of trusts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450938">
            <w:pPr>
              <w:jc w:val="center"/>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450938">
            <w:pPr>
              <w:jc w:val="center"/>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3754B2" w:rsidRDefault="000775D6">
            <w:pPr>
              <w:rPr>
                <w:rFonts w:ascii="Arial" w:hAnsi="Arial" w:cs="Arial"/>
                <w:i/>
                <w:iCs/>
                <w:sz w:val="20"/>
                <w:szCs w:val="20"/>
              </w:rPr>
            </w:pPr>
            <w:r w:rsidRPr="003754B2">
              <w:rPr>
                <w:rFonts w:ascii="Arial" w:hAnsi="Arial" w:cs="Arial"/>
                <w:i/>
                <w:iCs/>
                <w:sz w:val="20"/>
                <w:szCs w:val="20"/>
              </w:rPr>
              <w:t>Accumulation or discretionary trusts:</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 </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Trust income up to £1,000 – dividend type income </w:t>
            </w:r>
            <w:r w:rsidR="003F5B2A">
              <w:rPr>
                <w:rFonts w:ascii="Arial" w:hAnsi="Arial" w:cs="Arial"/>
                <w:sz w:val="20"/>
                <w:szCs w:val="20"/>
              </w:rPr>
              <w:t>(n</w:t>
            </w:r>
            <w:r w:rsidRPr="00EF34F1">
              <w:rPr>
                <w:rFonts w:ascii="Arial" w:hAnsi="Arial" w:cs="Arial"/>
                <w:sz w:val="20"/>
                <w:szCs w:val="20"/>
              </w:rPr>
              <w:t>ote 1</w:t>
            </w:r>
            <w:r w:rsidR="003F5B2A">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7.50%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7.50%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Trust income up to £1,000 – all other income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20%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20%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Trust income over £1,000 – dividend type income </w:t>
            </w:r>
            <w:r w:rsidR="003F5B2A">
              <w:rPr>
                <w:rFonts w:ascii="Arial" w:hAnsi="Arial" w:cs="Arial"/>
                <w:sz w:val="20"/>
                <w:szCs w:val="20"/>
              </w:rPr>
              <w:t>(</w:t>
            </w:r>
            <w:r w:rsidRPr="00EF34F1">
              <w:rPr>
                <w:rFonts w:ascii="Arial" w:hAnsi="Arial" w:cs="Arial"/>
                <w:sz w:val="20"/>
                <w:szCs w:val="20"/>
              </w:rPr>
              <w:t xml:space="preserve">note </w:t>
            </w:r>
            <w:r w:rsidR="003F5B2A">
              <w:rPr>
                <w:rFonts w:ascii="Arial" w:hAnsi="Arial" w:cs="Arial"/>
                <w:sz w:val="20"/>
                <w:szCs w:val="20"/>
              </w:rPr>
              <w:t>1)</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38.10%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38.10%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Trust income over £1,000 – all other income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45%</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45%</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785DEC" w:rsidRDefault="000775D6">
            <w:pPr>
              <w:rPr>
                <w:rFonts w:ascii="Arial" w:hAnsi="Arial" w:cs="Arial"/>
                <w:i/>
                <w:iCs/>
                <w:sz w:val="20"/>
                <w:szCs w:val="20"/>
              </w:rPr>
            </w:pPr>
            <w:r w:rsidRPr="00785DEC">
              <w:rPr>
                <w:rFonts w:ascii="Arial" w:hAnsi="Arial" w:cs="Arial"/>
                <w:i/>
                <w:iCs/>
                <w:sz w:val="20"/>
                <w:szCs w:val="20"/>
              </w:rPr>
              <w:t xml:space="preserve">Interest in possession trusts: </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 </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Dividend type income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7.50%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7.50%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All other income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20%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3610C3">
            <w:pPr>
              <w:jc w:val="right"/>
              <w:rPr>
                <w:rFonts w:ascii="Arial" w:hAnsi="Arial" w:cs="Arial"/>
                <w:sz w:val="20"/>
                <w:szCs w:val="20"/>
              </w:rPr>
            </w:pPr>
            <w:r w:rsidRPr="00EF34F1">
              <w:rPr>
                <w:rFonts w:ascii="Arial" w:hAnsi="Arial" w:cs="Arial"/>
                <w:sz w:val="20"/>
                <w:szCs w:val="20"/>
              </w:rPr>
              <w:t>20%</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8E49F5" w:rsidRDefault="00612134" w:rsidP="001456FA">
            <w:pPr>
              <w:rPr>
                <w:rFonts w:ascii="Arial" w:hAnsi="Arial" w:cs="Arial"/>
                <w:i/>
                <w:iCs/>
                <w:sz w:val="19"/>
                <w:szCs w:val="19"/>
              </w:rPr>
            </w:pPr>
            <w:r w:rsidRPr="008E49F5">
              <w:rPr>
                <w:rFonts w:ascii="Arial" w:hAnsi="Arial" w:cs="Arial"/>
                <w:i/>
                <w:iCs/>
                <w:sz w:val="19"/>
                <w:szCs w:val="19"/>
              </w:rPr>
              <w:t>Note 1:</w:t>
            </w:r>
            <w:r w:rsidR="001456FA" w:rsidRPr="008E49F5">
              <w:rPr>
                <w:rFonts w:ascii="Arial" w:hAnsi="Arial" w:cs="Arial"/>
                <w:i/>
                <w:iCs/>
                <w:sz w:val="19"/>
                <w:szCs w:val="19"/>
              </w:rPr>
              <w:t xml:space="preserve"> Trustees do not qualify for the dividend allowance. This means trustees pay tax on all dividends depending on the tax band they fall within.</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Corporation tax</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450938">
            <w:pPr>
              <w:jc w:val="center"/>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450938">
            <w:pPr>
              <w:jc w:val="center"/>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All profits and gains (excluding determination agreements and diverted profits</w:t>
            </w:r>
            <w:r w:rsidR="00163895">
              <w:rPr>
                <w:rFonts w:ascii="Arial" w:hAnsi="Arial" w:cs="Arial"/>
                <w:sz w:val="20"/>
                <w:szCs w:val="20"/>
              </w:rPr>
              <w:t xml:space="preserve"> (</w:t>
            </w:r>
            <w:r w:rsidRPr="00EF34F1">
              <w:rPr>
                <w:rFonts w:ascii="Arial" w:hAnsi="Arial" w:cs="Arial"/>
                <w:sz w:val="20"/>
                <w:szCs w:val="20"/>
              </w:rPr>
              <w:t>note 1</w:t>
            </w:r>
            <w:r w:rsidR="00163895">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19%</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19%</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S455 tax on all loans made by close companies to participator</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32.50%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32.50%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 xml:space="preserve">Capital </w:t>
            </w:r>
            <w:r w:rsidR="003E170B">
              <w:rPr>
                <w:rFonts w:ascii="Arial" w:hAnsi="Arial" w:cs="Arial"/>
                <w:b/>
                <w:bCs/>
                <w:sz w:val="20"/>
                <w:szCs w:val="20"/>
              </w:rPr>
              <w:t>a</w:t>
            </w:r>
            <w:r w:rsidRPr="00EF34F1">
              <w:rPr>
                <w:rFonts w:ascii="Arial" w:hAnsi="Arial" w:cs="Arial"/>
                <w:b/>
                <w:bCs/>
                <w:sz w:val="20"/>
                <w:szCs w:val="20"/>
              </w:rPr>
              <w:t>llowances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163895">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163895">
            <w:pPr>
              <w:jc w:val="right"/>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Main writing</w:t>
            </w:r>
            <w:r w:rsidR="003E170B">
              <w:rPr>
                <w:rFonts w:ascii="Arial" w:hAnsi="Arial" w:cs="Arial"/>
                <w:sz w:val="20"/>
                <w:szCs w:val="20"/>
              </w:rPr>
              <w:t>-</w:t>
            </w:r>
            <w:r w:rsidRPr="00EF34F1">
              <w:rPr>
                <w:rFonts w:ascii="Arial" w:hAnsi="Arial" w:cs="Arial"/>
                <w:sz w:val="20"/>
                <w:szCs w:val="20"/>
              </w:rPr>
              <w:t>down allowance (reducing balance)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18%</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18%</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Special rate writing</w:t>
            </w:r>
            <w:r w:rsidR="003E170B">
              <w:rPr>
                <w:rFonts w:ascii="Arial" w:hAnsi="Arial" w:cs="Arial"/>
                <w:sz w:val="20"/>
                <w:szCs w:val="20"/>
              </w:rPr>
              <w:t>-</w:t>
            </w:r>
            <w:r w:rsidRPr="00EF34F1">
              <w:rPr>
                <w:rFonts w:ascii="Arial" w:hAnsi="Arial" w:cs="Arial"/>
                <w:sz w:val="20"/>
                <w:szCs w:val="20"/>
              </w:rPr>
              <w:t>down allowance (reducing balance)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6%</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6%</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rsidP="004B0C0D">
            <w:pPr>
              <w:rPr>
                <w:rFonts w:ascii="Arial" w:hAnsi="Arial" w:cs="Arial"/>
                <w:sz w:val="20"/>
                <w:szCs w:val="20"/>
              </w:rPr>
            </w:pPr>
            <w:r w:rsidRPr="00EF34F1">
              <w:rPr>
                <w:rFonts w:ascii="Arial" w:hAnsi="Arial" w:cs="Arial"/>
                <w:sz w:val="20"/>
                <w:szCs w:val="20"/>
              </w:rPr>
              <w:t xml:space="preserve">Structures and </w:t>
            </w:r>
            <w:r w:rsidR="003E170B">
              <w:rPr>
                <w:rFonts w:ascii="Arial" w:hAnsi="Arial" w:cs="Arial"/>
                <w:sz w:val="20"/>
                <w:szCs w:val="20"/>
              </w:rPr>
              <w:t>b</w:t>
            </w:r>
            <w:r w:rsidRPr="00EF34F1">
              <w:rPr>
                <w:rFonts w:ascii="Arial" w:hAnsi="Arial" w:cs="Arial"/>
                <w:sz w:val="20"/>
                <w:szCs w:val="20"/>
              </w:rPr>
              <w:t xml:space="preserve">uildings allowance (SBA) </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0775D6" w:rsidP="00163895">
            <w:pPr>
              <w:jc w:val="right"/>
              <w:rPr>
                <w:rFonts w:ascii="Arial" w:hAnsi="Arial" w:cs="Arial"/>
                <w:sz w:val="20"/>
                <w:szCs w:val="20"/>
              </w:rPr>
            </w:pPr>
            <w:r w:rsidRPr="00EF34F1">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0775D6" w:rsidP="00163895">
            <w:pPr>
              <w:jc w:val="right"/>
              <w:rPr>
                <w:rFonts w:ascii="Arial" w:hAnsi="Arial" w:cs="Arial"/>
                <w:sz w:val="20"/>
                <w:szCs w:val="20"/>
              </w:rPr>
            </w:pPr>
            <w:r w:rsidRPr="00EF34F1">
              <w:rPr>
                <w:rFonts w:ascii="Arial" w:hAnsi="Arial" w:cs="Arial"/>
                <w:sz w:val="20"/>
                <w:szCs w:val="20"/>
              </w:rPr>
              <w:t>3%</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4B0C0D">
            <w:pPr>
              <w:rPr>
                <w:rFonts w:ascii="Arial" w:hAnsi="Arial" w:cs="Arial"/>
                <w:sz w:val="20"/>
                <w:szCs w:val="20"/>
              </w:rPr>
            </w:pPr>
            <w:r w:rsidRPr="00EF34F1">
              <w:rPr>
                <w:rFonts w:ascii="Arial" w:hAnsi="Arial" w:cs="Arial"/>
                <w:sz w:val="20"/>
                <w:szCs w:val="20"/>
              </w:rPr>
              <w:t xml:space="preserve">Motor </w:t>
            </w:r>
            <w:r w:rsidR="003E170B">
              <w:rPr>
                <w:rFonts w:ascii="Arial" w:hAnsi="Arial" w:cs="Arial"/>
                <w:sz w:val="20"/>
                <w:szCs w:val="20"/>
              </w:rPr>
              <w:t>c</w:t>
            </w:r>
            <w:r w:rsidRPr="00EF34F1">
              <w:rPr>
                <w:rFonts w:ascii="Arial" w:hAnsi="Arial" w:cs="Arial"/>
                <w:sz w:val="20"/>
                <w:szCs w:val="20"/>
              </w:rPr>
              <w:t>ars if CO2 &gt; 50g/km but do</w:t>
            </w:r>
            <w:r w:rsidR="003E170B">
              <w:rPr>
                <w:rFonts w:ascii="Arial" w:hAnsi="Arial" w:cs="Arial"/>
                <w:sz w:val="20"/>
                <w:szCs w:val="20"/>
              </w:rPr>
              <w:t>es</w:t>
            </w:r>
            <w:r w:rsidRPr="00EF34F1">
              <w:rPr>
                <w:rFonts w:ascii="Arial" w:hAnsi="Arial" w:cs="Arial"/>
                <w:sz w:val="20"/>
                <w:szCs w:val="20"/>
              </w:rPr>
              <w:t xml:space="preserve"> not exceed 110g/km </w:t>
            </w:r>
            <w:r w:rsidR="003E170B">
              <w:rPr>
                <w:rFonts w:ascii="Arial" w:hAnsi="Arial" w:cs="Arial"/>
                <w:sz w:val="20"/>
                <w:szCs w:val="20"/>
              </w:rPr>
              <w:t>(n</w:t>
            </w:r>
            <w:r w:rsidRPr="00EF34F1">
              <w:rPr>
                <w:rFonts w:ascii="Arial" w:hAnsi="Arial" w:cs="Arial"/>
                <w:sz w:val="20"/>
                <w:szCs w:val="20"/>
              </w:rPr>
              <w:t xml:space="preserve">ote </w:t>
            </w:r>
            <w:r w:rsidR="003E170B">
              <w:rPr>
                <w:rFonts w:ascii="Arial" w:hAnsi="Arial" w:cs="Arial"/>
                <w:sz w:val="20"/>
                <w:szCs w:val="20"/>
              </w:rPr>
              <w:t>1)</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18%</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18%</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4B0C0D">
            <w:pPr>
              <w:rPr>
                <w:rFonts w:ascii="Arial" w:hAnsi="Arial" w:cs="Arial"/>
                <w:sz w:val="20"/>
                <w:szCs w:val="20"/>
              </w:rPr>
            </w:pPr>
            <w:r w:rsidRPr="00EF34F1">
              <w:rPr>
                <w:rFonts w:ascii="Arial" w:hAnsi="Arial" w:cs="Arial"/>
                <w:sz w:val="20"/>
                <w:szCs w:val="20"/>
              </w:rPr>
              <w:t xml:space="preserve">Motor </w:t>
            </w:r>
            <w:r w:rsidR="007C6DE8">
              <w:rPr>
                <w:rFonts w:ascii="Arial" w:hAnsi="Arial" w:cs="Arial"/>
                <w:sz w:val="20"/>
                <w:szCs w:val="20"/>
              </w:rPr>
              <w:t>c</w:t>
            </w:r>
            <w:r w:rsidRPr="00EF34F1">
              <w:rPr>
                <w:rFonts w:ascii="Arial" w:hAnsi="Arial" w:cs="Arial"/>
                <w:sz w:val="20"/>
                <w:szCs w:val="20"/>
              </w:rPr>
              <w:t xml:space="preserve">ars if CO2 &gt; 110g/km </w:t>
            </w:r>
            <w:r w:rsidR="007C6DE8">
              <w:rPr>
                <w:rFonts w:ascii="Arial" w:hAnsi="Arial" w:cs="Arial"/>
                <w:sz w:val="20"/>
                <w:szCs w:val="20"/>
              </w:rPr>
              <w:t>(n</w:t>
            </w:r>
            <w:r w:rsidRPr="00EF34F1">
              <w:rPr>
                <w:rFonts w:ascii="Arial" w:hAnsi="Arial" w:cs="Arial"/>
                <w:sz w:val="20"/>
                <w:szCs w:val="20"/>
              </w:rPr>
              <w:t>ote 1</w:t>
            </w:r>
            <w:r w:rsidR="007C6DE8">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6%</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6%</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Del="002542DC" w:rsidRDefault="000775D6" w:rsidP="004B0C0D">
            <w:pPr>
              <w:rPr>
                <w:rFonts w:ascii="Arial" w:hAnsi="Arial" w:cs="Arial"/>
                <w:sz w:val="20"/>
                <w:szCs w:val="20"/>
              </w:rPr>
            </w:pPr>
            <w:r w:rsidRPr="00EF34F1">
              <w:rPr>
                <w:rFonts w:ascii="Arial" w:hAnsi="Arial" w:cs="Arial"/>
                <w:sz w:val="20"/>
                <w:szCs w:val="20"/>
              </w:rPr>
              <w:t>FYA</w:t>
            </w:r>
            <w:r w:rsidR="00E50CC2">
              <w:rPr>
                <w:rFonts w:ascii="Arial" w:hAnsi="Arial" w:cs="Arial"/>
                <w:sz w:val="20"/>
                <w:szCs w:val="20"/>
              </w:rPr>
              <w:t xml:space="preserve"> –</w:t>
            </w:r>
            <w:r w:rsidRPr="00EF34F1">
              <w:rPr>
                <w:rFonts w:ascii="Arial" w:hAnsi="Arial" w:cs="Arial"/>
                <w:sz w:val="20"/>
                <w:szCs w:val="20"/>
              </w:rPr>
              <w:t xml:space="preserve"> New and unused </w:t>
            </w:r>
            <w:r w:rsidR="00E50CC2">
              <w:rPr>
                <w:rFonts w:ascii="Arial" w:hAnsi="Arial" w:cs="Arial"/>
                <w:sz w:val="20"/>
                <w:szCs w:val="20"/>
              </w:rPr>
              <w:t>m</w:t>
            </w:r>
            <w:r w:rsidRPr="00EF34F1">
              <w:rPr>
                <w:rFonts w:ascii="Arial" w:hAnsi="Arial" w:cs="Arial"/>
                <w:sz w:val="20"/>
                <w:szCs w:val="20"/>
              </w:rPr>
              <w:t xml:space="preserve">otor </w:t>
            </w:r>
            <w:r w:rsidR="00E50CC2">
              <w:rPr>
                <w:rFonts w:ascii="Arial" w:hAnsi="Arial" w:cs="Arial"/>
                <w:sz w:val="20"/>
                <w:szCs w:val="20"/>
              </w:rPr>
              <w:t>c</w:t>
            </w:r>
            <w:r w:rsidRPr="00EF34F1">
              <w:rPr>
                <w:rFonts w:ascii="Arial" w:hAnsi="Arial" w:cs="Arial"/>
                <w:sz w:val="20"/>
                <w:szCs w:val="20"/>
              </w:rPr>
              <w:t xml:space="preserve">ars if CO2 emissions are 50 g/km or less (or car is electric) </w:t>
            </w:r>
            <w:r w:rsidR="00E50CC2">
              <w:rPr>
                <w:rFonts w:ascii="Arial" w:hAnsi="Arial" w:cs="Arial"/>
                <w:sz w:val="20"/>
                <w:szCs w:val="20"/>
              </w:rPr>
              <w:t>(n</w:t>
            </w:r>
            <w:r w:rsidRPr="00EF34F1">
              <w:rPr>
                <w:rFonts w:ascii="Arial" w:hAnsi="Arial" w:cs="Arial"/>
                <w:sz w:val="20"/>
                <w:szCs w:val="20"/>
              </w:rPr>
              <w:t>ote 1</w:t>
            </w:r>
            <w:r w:rsidR="00E50CC2">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Del="002542DC" w:rsidRDefault="000775D6" w:rsidP="00163895">
            <w:pPr>
              <w:jc w:val="right"/>
              <w:rPr>
                <w:rFonts w:ascii="Arial" w:hAnsi="Arial" w:cs="Arial"/>
                <w:sz w:val="20"/>
                <w:szCs w:val="20"/>
              </w:rPr>
            </w:pPr>
            <w:r w:rsidRPr="00EF34F1">
              <w:rPr>
                <w:rFonts w:ascii="Arial" w:hAnsi="Arial" w:cs="Arial"/>
                <w:sz w:val="20"/>
                <w:szCs w:val="20"/>
              </w:rPr>
              <w:t>100%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Del="002542DC" w:rsidRDefault="000775D6" w:rsidP="00163895">
            <w:pPr>
              <w:jc w:val="right"/>
              <w:rPr>
                <w:rFonts w:ascii="Arial" w:hAnsi="Arial" w:cs="Arial"/>
                <w:sz w:val="20"/>
                <w:szCs w:val="20"/>
              </w:rPr>
            </w:pPr>
            <w:r w:rsidRPr="00EF34F1">
              <w:rPr>
                <w:rFonts w:ascii="Arial" w:hAnsi="Arial" w:cs="Arial"/>
                <w:sz w:val="20"/>
                <w:szCs w:val="20"/>
              </w:rPr>
              <w:t>100%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Small pool write</w:t>
            </w:r>
            <w:r w:rsidR="003A7003">
              <w:rPr>
                <w:rFonts w:ascii="Arial" w:hAnsi="Arial" w:cs="Arial"/>
                <w:sz w:val="20"/>
                <w:szCs w:val="20"/>
              </w:rPr>
              <w:t>-</w:t>
            </w:r>
            <w:r w:rsidRPr="00EF34F1">
              <w:rPr>
                <w:rFonts w:ascii="Arial" w:hAnsi="Arial" w:cs="Arial"/>
                <w:sz w:val="20"/>
                <w:szCs w:val="20"/>
              </w:rPr>
              <w:t>off where WDV is £1,000 or less</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First</w:t>
            </w:r>
            <w:r w:rsidR="003A7003">
              <w:rPr>
                <w:rFonts w:ascii="Arial" w:hAnsi="Arial" w:cs="Arial"/>
                <w:sz w:val="20"/>
                <w:szCs w:val="20"/>
              </w:rPr>
              <w:t>-</w:t>
            </w:r>
            <w:r w:rsidRPr="00EF34F1">
              <w:rPr>
                <w:rFonts w:ascii="Arial" w:hAnsi="Arial" w:cs="Arial"/>
                <w:sz w:val="20"/>
                <w:szCs w:val="20"/>
              </w:rPr>
              <w:t>year allowances for certain energy-saving/water</w:t>
            </w:r>
            <w:r w:rsidR="003A7003">
              <w:rPr>
                <w:rFonts w:ascii="Arial" w:hAnsi="Arial" w:cs="Arial"/>
                <w:sz w:val="20"/>
                <w:szCs w:val="20"/>
              </w:rPr>
              <w:t>-</w:t>
            </w:r>
            <w:r w:rsidRPr="00EF34F1">
              <w:rPr>
                <w:rFonts w:ascii="Arial" w:hAnsi="Arial" w:cs="Arial"/>
                <w:sz w:val="20"/>
                <w:szCs w:val="20"/>
              </w:rPr>
              <w:t>efficient products</w:t>
            </w:r>
            <w:r w:rsidR="003A7003">
              <w:rPr>
                <w:rFonts w:ascii="Arial" w:hAnsi="Arial" w:cs="Arial"/>
                <w:sz w:val="20"/>
                <w:szCs w:val="20"/>
              </w:rPr>
              <w:t xml:space="preserve"> (n</w:t>
            </w:r>
            <w:r w:rsidRPr="00EF34F1">
              <w:rPr>
                <w:rFonts w:ascii="Arial" w:hAnsi="Arial" w:cs="Arial"/>
                <w:sz w:val="20"/>
                <w:szCs w:val="20"/>
              </w:rPr>
              <w:t>ote 2</w:t>
            </w:r>
            <w:r w:rsidR="003A7003">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NA</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rsidP="00C824AF">
            <w:pPr>
              <w:rPr>
                <w:rFonts w:ascii="Arial" w:hAnsi="Arial" w:cs="Arial"/>
                <w:sz w:val="20"/>
                <w:szCs w:val="20"/>
              </w:rPr>
            </w:pPr>
            <w:r w:rsidRPr="00EF34F1">
              <w:rPr>
                <w:rFonts w:ascii="Arial" w:hAnsi="Arial" w:cs="Arial"/>
                <w:sz w:val="20"/>
                <w:szCs w:val="20"/>
              </w:rPr>
              <w:t xml:space="preserve">Annual investment allowance (AIA) </w:t>
            </w:r>
            <w:r w:rsidR="002C4EFE">
              <w:rPr>
                <w:rFonts w:ascii="Arial" w:hAnsi="Arial" w:cs="Arial"/>
                <w:sz w:val="20"/>
                <w:szCs w:val="20"/>
              </w:rPr>
              <w:t>(n</w:t>
            </w:r>
            <w:r w:rsidRPr="00EF34F1">
              <w:rPr>
                <w:rFonts w:ascii="Arial" w:hAnsi="Arial" w:cs="Arial"/>
                <w:sz w:val="20"/>
                <w:szCs w:val="20"/>
              </w:rPr>
              <w:t>ote 3</w:t>
            </w:r>
            <w:r w:rsidR="002C4EFE">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2E4A98" w:rsidP="00163895">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1,000,000</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2E4A98" w:rsidP="00163895">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1,000,000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Annual investment allowance </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163895">
            <w:pPr>
              <w:jc w:val="right"/>
              <w:rPr>
                <w:rFonts w:ascii="Arial" w:hAnsi="Arial" w:cs="Arial"/>
                <w:sz w:val="20"/>
                <w:szCs w:val="20"/>
              </w:rPr>
            </w:pPr>
            <w:r w:rsidRPr="00EF34F1">
              <w:rPr>
                <w:rFonts w:ascii="Arial" w:hAnsi="Arial" w:cs="Arial"/>
                <w:sz w:val="20"/>
                <w:szCs w:val="20"/>
              </w:rPr>
              <w:t>100%</w:t>
            </w:r>
          </w:p>
        </w:tc>
      </w:tr>
      <w:tr w:rsidR="001456FA" w:rsidRPr="00EF34F1" w:rsidTr="004637DA">
        <w:trPr>
          <w:trHeight w:val="315"/>
        </w:trPr>
        <w:tc>
          <w:tcPr>
            <w:tcW w:w="9918" w:type="dxa"/>
            <w:gridSpan w:val="3"/>
            <w:tcBorders>
              <w:top w:val="single" w:sz="4" w:space="0" w:color="auto"/>
              <w:left w:val="single" w:sz="4" w:space="0" w:color="auto"/>
              <w:bottom w:val="single" w:sz="4" w:space="0" w:color="auto"/>
              <w:right w:val="single" w:sz="4" w:space="0" w:color="auto"/>
            </w:tcBorders>
            <w:noWrap/>
          </w:tcPr>
          <w:p w:rsidR="001456FA" w:rsidRPr="008E49F5" w:rsidRDefault="00D16980" w:rsidP="00D16980">
            <w:pPr>
              <w:ind w:left="360"/>
              <w:rPr>
                <w:rFonts w:ascii="Arial" w:hAnsi="Arial" w:cs="Arial"/>
                <w:i/>
                <w:iCs/>
                <w:sz w:val="19"/>
                <w:szCs w:val="19"/>
              </w:rPr>
            </w:pPr>
            <w:r w:rsidRPr="008E49F5">
              <w:rPr>
                <w:rFonts w:ascii="Arial" w:hAnsi="Arial" w:cs="Arial"/>
                <w:i/>
                <w:iCs/>
                <w:sz w:val="19"/>
                <w:szCs w:val="19"/>
              </w:rPr>
              <w:t xml:space="preserve">Note 1: </w:t>
            </w:r>
            <w:r w:rsidR="00683DEE" w:rsidRPr="008E49F5">
              <w:rPr>
                <w:rFonts w:ascii="Arial" w:hAnsi="Arial" w:cs="Arial"/>
                <w:i/>
                <w:iCs/>
                <w:sz w:val="19"/>
                <w:szCs w:val="19"/>
              </w:rPr>
              <w:t>From April 2021, the thresholds for FYA will be reduced from 50g/km to 0g/km. Main rate of 18% capital allowance will be applicable for business cars with CO2 emissions not exceeding 50g/k. Business cars</w:t>
            </w:r>
            <w:r w:rsidRPr="008E49F5">
              <w:rPr>
                <w:rFonts w:ascii="Arial" w:hAnsi="Arial" w:cs="Arial"/>
                <w:i/>
                <w:iCs/>
                <w:sz w:val="19"/>
                <w:szCs w:val="19"/>
              </w:rPr>
              <w:t>’</w:t>
            </w:r>
            <w:r w:rsidR="00683DEE" w:rsidRPr="008E49F5">
              <w:rPr>
                <w:rFonts w:ascii="Arial" w:hAnsi="Arial" w:cs="Arial"/>
                <w:i/>
                <w:iCs/>
                <w:sz w:val="19"/>
                <w:szCs w:val="19"/>
              </w:rPr>
              <w:t xml:space="preserve"> CO2 emission exceeding 50g/km will be eligible for </w:t>
            </w:r>
            <w:r w:rsidRPr="008E49F5">
              <w:rPr>
                <w:rFonts w:ascii="Arial" w:hAnsi="Arial" w:cs="Arial"/>
                <w:i/>
                <w:iCs/>
                <w:sz w:val="19"/>
                <w:szCs w:val="19"/>
              </w:rPr>
              <w:t>writing-down allowance</w:t>
            </w:r>
            <w:r w:rsidRPr="008E49F5">
              <w:rPr>
                <w:rFonts w:ascii="Arial" w:hAnsi="Arial" w:cs="Arial"/>
                <w:sz w:val="19"/>
                <w:szCs w:val="19"/>
              </w:rPr>
              <w:t xml:space="preserve"> </w:t>
            </w:r>
            <w:r w:rsidR="00683DEE" w:rsidRPr="008E49F5">
              <w:rPr>
                <w:rFonts w:ascii="Arial" w:hAnsi="Arial" w:cs="Arial"/>
                <w:i/>
                <w:iCs/>
                <w:sz w:val="19"/>
                <w:szCs w:val="19"/>
              </w:rPr>
              <w:t>at the special rate of 6%.</w:t>
            </w:r>
          </w:p>
          <w:p w:rsidR="00683DEE" w:rsidRPr="008E49F5" w:rsidRDefault="00D16980" w:rsidP="00D16980">
            <w:pPr>
              <w:ind w:left="360"/>
              <w:rPr>
                <w:rFonts w:ascii="Arial" w:hAnsi="Arial" w:cs="Arial"/>
                <w:sz w:val="19"/>
                <w:szCs w:val="19"/>
              </w:rPr>
            </w:pPr>
            <w:r w:rsidRPr="008E49F5">
              <w:rPr>
                <w:rFonts w:ascii="Arial" w:hAnsi="Arial" w:cs="Arial"/>
                <w:i/>
                <w:iCs/>
                <w:sz w:val="19"/>
                <w:szCs w:val="19"/>
              </w:rPr>
              <w:lastRenderedPageBreak/>
              <w:t xml:space="preserve">Note 2: </w:t>
            </w:r>
            <w:r w:rsidR="00683DEE" w:rsidRPr="008E49F5">
              <w:rPr>
                <w:rFonts w:ascii="Arial" w:hAnsi="Arial" w:cs="Arial"/>
                <w:i/>
                <w:iCs/>
                <w:sz w:val="19"/>
                <w:szCs w:val="19"/>
              </w:rPr>
              <w:t>From 1 April 2020 for incorporated businesses and from 6 April 2020 for unincorporated businesses, environmental enhanced capital allowances will be abolished.</w:t>
            </w:r>
          </w:p>
          <w:p w:rsidR="001456FA" w:rsidRPr="008E49F5" w:rsidRDefault="00D16980" w:rsidP="00D16980">
            <w:pPr>
              <w:ind w:left="360"/>
              <w:rPr>
                <w:rFonts w:ascii="Arial" w:hAnsi="Arial" w:cs="Arial"/>
                <w:sz w:val="19"/>
                <w:szCs w:val="19"/>
              </w:rPr>
            </w:pPr>
            <w:r w:rsidRPr="008E49F5">
              <w:rPr>
                <w:rFonts w:ascii="Arial" w:hAnsi="Arial" w:cs="Arial"/>
                <w:i/>
                <w:iCs/>
                <w:sz w:val="19"/>
                <w:szCs w:val="19"/>
              </w:rPr>
              <w:t xml:space="preserve">Note 3: </w:t>
            </w:r>
            <w:r w:rsidR="00683DEE" w:rsidRPr="008E49F5">
              <w:rPr>
                <w:rFonts w:ascii="Arial" w:hAnsi="Arial" w:cs="Arial"/>
                <w:i/>
                <w:iCs/>
                <w:sz w:val="19"/>
                <w:szCs w:val="19"/>
              </w:rPr>
              <w:t>From 1 January 2019 the annual investment allowance is increased from £200,000 to £1m for investment made from 1 January 2019. This is temporarily increased for two years until 31 December 2020. The threshold will revert back to £200,000 from 1 January 2021.</w:t>
            </w:r>
          </w:p>
        </w:tc>
      </w:tr>
      <w:tr w:rsidR="00E32966" w:rsidRPr="00EF34F1" w:rsidTr="004637DA">
        <w:trPr>
          <w:trHeight w:val="330"/>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E32966" w:rsidRPr="00EF34F1" w:rsidRDefault="00E32966" w:rsidP="00AD77CA">
            <w:pPr>
              <w:rPr>
                <w:rFonts w:ascii="Arial" w:hAnsi="Arial" w:cs="Arial"/>
                <w:sz w:val="20"/>
                <w:szCs w:val="20"/>
              </w:rPr>
            </w:pPr>
            <w:r w:rsidRPr="00EF34F1">
              <w:rPr>
                <w:rFonts w:ascii="Arial" w:hAnsi="Arial" w:cs="Arial"/>
                <w:sz w:val="20"/>
                <w:szCs w:val="20"/>
              </w:rPr>
              <w:lastRenderedPageBreak/>
              <w:t> </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E32966" w:rsidRPr="00EF34F1" w:rsidRDefault="00E32966" w:rsidP="00AD77CA">
            <w:pPr>
              <w:jc w:val="right"/>
              <w:rPr>
                <w:rFonts w:ascii="Arial" w:hAnsi="Arial" w:cs="Arial"/>
                <w:b/>
                <w:bCs/>
                <w:sz w:val="24"/>
                <w:szCs w:val="24"/>
              </w:rPr>
            </w:pPr>
            <w:r w:rsidRPr="00EF34F1">
              <w:rPr>
                <w:rFonts w:ascii="Arial" w:hAnsi="Arial" w:cs="Arial"/>
                <w:b/>
                <w:bCs/>
                <w:sz w:val="24"/>
                <w:szCs w:val="24"/>
              </w:rPr>
              <w:t>2019/20</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E32966" w:rsidRPr="00EF34F1" w:rsidRDefault="00E32966" w:rsidP="00AD77CA">
            <w:pPr>
              <w:jc w:val="right"/>
              <w:rPr>
                <w:rFonts w:ascii="Arial" w:hAnsi="Arial" w:cs="Arial"/>
                <w:b/>
                <w:bCs/>
                <w:sz w:val="24"/>
                <w:szCs w:val="24"/>
              </w:rPr>
            </w:pPr>
            <w:r w:rsidRPr="00EF34F1">
              <w:rPr>
                <w:rFonts w:ascii="Arial" w:hAnsi="Arial" w:cs="Arial"/>
                <w:b/>
                <w:bCs/>
                <w:sz w:val="24"/>
                <w:szCs w:val="24"/>
              </w:rPr>
              <w:t>2020/21</w:t>
            </w:r>
          </w:p>
        </w:tc>
      </w:tr>
      <w:tr w:rsidR="00E3296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E32966" w:rsidRPr="00EF34F1" w:rsidRDefault="00E32966" w:rsidP="00AD77CA">
            <w:pPr>
              <w:rPr>
                <w:rFonts w:ascii="Arial" w:hAnsi="Arial" w:cs="Arial"/>
                <w:b/>
                <w:bCs/>
                <w:sz w:val="20"/>
                <w:szCs w:val="20"/>
              </w:rPr>
            </w:pPr>
            <w:r w:rsidRPr="00EF34F1">
              <w:rPr>
                <w:rFonts w:ascii="Arial" w:hAnsi="Arial" w:cs="Arial"/>
                <w:b/>
                <w:bCs/>
                <w:sz w:val="20"/>
                <w:szCs w:val="20"/>
              </w:rPr>
              <w:t xml:space="preserve">Research and </w:t>
            </w:r>
            <w:r>
              <w:rPr>
                <w:rFonts w:ascii="Arial" w:hAnsi="Arial" w:cs="Arial"/>
                <w:b/>
                <w:bCs/>
                <w:sz w:val="20"/>
                <w:szCs w:val="20"/>
              </w:rPr>
              <w:t>d</w:t>
            </w:r>
            <w:r w:rsidRPr="00EF34F1">
              <w:rPr>
                <w:rFonts w:ascii="Arial" w:hAnsi="Arial" w:cs="Arial"/>
                <w:b/>
                <w:bCs/>
                <w:sz w:val="20"/>
                <w:szCs w:val="20"/>
              </w:rPr>
              <w:t xml:space="preserve">evelopment </w:t>
            </w:r>
            <w:r>
              <w:rPr>
                <w:rFonts w:ascii="Arial" w:hAnsi="Arial" w:cs="Arial"/>
                <w:b/>
                <w:bCs/>
                <w:sz w:val="20"/>
                <w:szCs w:val="20"/>
              </w:rPr>
              <w:t>t</w:t>
            </w:r>
            <w:r w:rsidRPr="00EF34F1">
              <w:rPr>
                <w:rFonts w:ascii="Arial" w:hAnsi="Arial" w:cs="Arial"/>
                <w:b/>
                <w:bCs/>
                <w:sz w:val="20"/>
                <w:szCs w:val="20"/>
              </w:rPr>
              <w:t xml:space="preserve">ax </w:t>
            </w:r>
            <w:r>
              <w:rPr>
                <w:rFonts w:ascii="Arial" w:hAnsi="Arial" w:cs="Arial"/>
                <w:b/>
                <w:bCs/>
                <w:sz w:val="20"/>
                <w:szCs w:val="20"/>
              </w:rPr>
              <w:t>c</w:t>
            </w:r>
            <w:r w:rsidRPr="00EF34F1">
              <w:rPr>
                <w:rFonts w:ascii="Arial" w:hAnsi="Arial" w:cs="Arial"/>
                <w:b/>
                <w:bCs/>
                <w:sz w:val="20"/>
                <w:szCs w:val="20"/>
              </w:rPr>
              <w:t xml:space="preserve">redit </w:t>
            </w:r>
            <w:r>
              <w:rPr>
                <w:rFonts w:ascii="Arial" w:hAnsi="Arial" w:cs="Arial"/>
                <w:b/>
                <w:bCs/>
                <w:sz w:val="20"/>
                <w:szCs w:val="20"/>
              </w:rPr>
              <w:t>r</w:t>
            </w:r>
            <w:r w:rsidRPr="00EF34F1">
              <w:rPr>
                <w:rFonts w:ascii="Arial" w:hAnsi="Arial" w:cs="Arial"/>
                <w:b/>
                <w:bCs/>
                <w:sz w:val="20"/>
                <w:szCs w:val="20"/>
              </w:rPr>
              <w:t>ates</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E32966" w:rsidRPr="00EF34F1" w:rsidRDefault="00E32966" w:rsidP="00AD77CA">
            <w:pPr>
              <w:jc w:val="center"/>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E32966" w:rsidRPr="00EF34F1" w:rsidRDefault="00E32966" w:rsidP="00AD77CA">
            <w:pPr>
              <w:jc w:val="center"/>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SME </w:t>
            </w:r>
            <w:r w:rsidR="00E32966">
              <w:rPr>
                <w:rFonts w:ascii="Arial" w:hAnsi="Arial" w:cs="Arial"/>
                <w:sz w:val="20"/>
                <w:szCs w:val="20"/>
              </w:rPr>
              <w:t>r</w:t>
            </w:r>
            <w:r w:rsidRPr="00EF34F1">
              <w:rPr>
                <w:rFonts w:ascii="Arial" w:hAnsi="Arial" w:cs="Arial"/>
                <w:sz w:val="20"/>
                <w:szCs w:val="20"/>
              </w:rPr>
              <w:t>ate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230%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 230%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pPr>
              <w:rPr>
                <w:rFonts w:ascii="Arial" w:hAnsi="Arial" w:cs="Arial"/>
                <w:sz w:val="20"/>
                <w:szCs w:val="20"/>
              </w:rPr>
            </w:pPr>
            <w:r w:rsidRPr="00EF34F1">
              <w:rPr>
                <w:rFonts w:ascii="Arial" w:hAnsi="Arial" w:cs="Arial"/>
                <w:sz w:val="20"/>
                <w:szCs w:val="20"/>
              </w:rPr>
              <w:t>Research and development SME payable credit</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14.5%</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14.5%</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C92B59">
            <w:pPr>
              <w:rPr>
                <w:rFonts w:ascii="Arial" w:hAnsi="Arial" w:cs="Arial"/>
                <w:sz w:val="20"/>
                <w:szCs w:val="20"/>
              </w:rPr>
            </w:pPr>
            <w:r w:rsidRPr="00EF34F1">
              <w:rPr>
                <w:rFonts w:ascii="Arial" w:hAnsi="Arial" w:cs="Arial"/>
                <w:sz w:val="20"/>
                <w:szCs w:val="20"/>
              </w:rPr>
              <w:t xml:space="preserve">Research and development expenditure credit (RDEC) scheme </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12%</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 13%</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rsidP="00C92B59">
            <w:pPr>
              <w:rPr>
                <w:rFonts w:ascii="Arial" w:hAnsi="Arial" w:cs="Arial"/>
                <w:sz w:val="20"/>
                <w:szCs w:val="20"/>
              </w:rPr>
            </w:pPr>
            <w:r w:rsidRPr="00EF34F1">
              <w:rPr>
                <w:rFonts w:ascii="Arial" w:hAnsi="Arial" w:cs="Arial"/>
                <w:sz w:val="20"/>
                <w:szCs w:val="20"/>
              </w:rPr>
              <w:t>Film/High-end TV/</w:t>
            </w:r>
            <w:r w:rsidR="00E32966">
              <w:rPr>
                <w:rFonts w:ascii="Arial" w:hAnsi="Arial" w:cs="Arial"/>
                <w:sz w:val="20"/>
                <w:szCs w:val="20"/>
              </w:rPr>
              <w:t>v</w:t>
            </w:r>
            <w:r w:rsidRPr="00EF34F1">
              <w:rPr>
                <w:rFonts w:ascii="Arial" w:hAnsi="Arial" w:cs="Arial"/>
                <w:sz w:val="20"/>
                <w:szCs w:val="20"/>
              </w:rPr>
              <w:t xml:space="preserve">ideogames tax credit </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25%</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25%</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pPr>
              <w:rPr>
                <w:rFonts w:ascii="Arial" w:hAnsi="Arial" w:cs="Arial"/>
                <w:sz w:val="20"/>
                <w:szCs w:val="20"/>
              </w:rPr>
            </w:pPr>
            <w:r w:rsidRPr="00EF34F1">
              <w:rPr>
                <w:rFonts w:ascii="Arial" w:hAnsi="Arial" w:cs="Arial"/>
                <w:sz w:val="20"/>
                <w:szCs w:val="20"/>
              </w:rPr>
              <w:t>Open</w:t>
            </w:r>
            <w:r w:rsidR="00E32966">
              <w:rPr>
                <w:rFonts w:ascii="Arial" w:hAnsi="Arial" w:cs="Arial"/>
                <w:sz w:val="20"/>
                <w:szCs w:val="20"/>
              </w:rPr>
              <w:t>-</w:t>
            </w:r>
            <w:r w:rsidRPr="00EF34F1">
              <w:rPr>
                <w:rFonts w:ascii="Arial" w:hAnsi="Arial" w:cs="Arial"/>
                <w:sz w:val="20"/>
                <w:szCs w:val="20"/>
              </w:rPr>
              <w:t>ended investment companies and authorised unit trusts</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20%</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20%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 xml:space="preserve">Patent </w:t>
            </w:r>
            <w:r w:rsidR="005D6C92">
              <w:rPr>
                <w:rFonts w:ascii="Arial" w:hAnsi="Arial" w:cs="Arial"/>
                <w:b/>
                <w:bCs/>
                <w:sz w:val="20"/>
                <w:szCs w:val="20"/>
              </w:rPr>
              <w:t>b</w:t>
            </w:r>
            <w:r w:rsidRPr="00EF34F1">
              <w:rPr>
                <w:rFonts w:ascii="Arial" w:hAnsi="Arial" w:cs="Arial"/>
                <w:b/>
                <w:bCs/>
                <w:sz w:val="20"/>
                <w:szCs w:val="20"/>
              </w:rPr>
              <w:t>ox</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E32966">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E32966">
            <w:pPr>
              <w:jc w:val="right"/>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526B9B">
            <w:pPr>
              <w:rPr>
                <w:rFonts w:ascii="Arial" w:hAnsi="Arial" w:cs="Arial"/>
                <w:sz w:val="20"/>
                <w:szCs w:val="20"/>
              </w:rPr>
            </w:pPr>
            <w:r w:rsidRPr="00EF34F1">
              <w:rPr>
                <w:rFonts w:ascii="Arial" w:hAnsi="Arial" w:cs="Arial"/>
                <w:sz w:val="20"/>
                <w:szCs w:val="20"/>
              </w:rPr>
              <w:t xml:space="preserve">Patent box </w:t>
            </w:r>
          </w:p>
        </w:tc>
        <w:tc>
          <w:tcPr>
            <w:tcW w:w="1842" w:type="dxa"/>
            <w:tcBorders>
              <w:top w:val="single" w:sz="4" w:space="0" w:color="auto"/>
              <w:left w:val="single" w:sz="4" w:space="0" w:color="auto"/>
              <w:bottom w:val="single" w:sz="4" w:space="0" w:color="auto"/>
              <w:right w:val="single" w:sz="4" w:space="0" w:color="auto"/>
            </w:tcBorders>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10%</w:t>
            </w:r>
          </w:p>
        </w:tc>
        <w:tc>
          <w:tcPr>
            <w:tcW w:w="1700" w:type="dxa"/>
            <w:tcBorders>
              <w:top w:val="single" w:sz="4" w:space="0" w:color="auto"/>
              <w:left w:val="single" w:sz="4" w:space="0" w:color="auto"/>
              <w:bottom w:val="single" w:sz="4" w:space="0" w:color="auto"/>
              <w:right w:val="single" w:sz="4" w:space="0" w:color="auto"/>
            </w:tcBorders>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10%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VAT</w:t>
            </w:r>
          </w:p>
        </w:tc>
        <w:tc>
          <w:tcPr>
            <w:tcW w:w="184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E32966">
            <w:pPr>
              <w:jc w:val="right"/>
              <w:rPr>
                <w:rFonts w:ascii="Arial" w:hAnsi="Arial" w:cs="Arial"/>
                <w:b/>
                <w:bCs/>
                <w:sz w:val="20"/>
                <w:szCs w:val="20"/>
              </w:rPr>
            </w:pPr>
            <w:r w:rsidRPr="00EF34F1">
              <w:rPr>
                <w:rFonts w:ascii="Arial" w:hAnsi="Arial" w:cs="Arial"/>
                <w:b/>
                <w:bCs/>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rsidP="00E32966">
            <w:pPr>
              <w:jc w:val="right"/>
              <w:rPr>
                <w:rFonts w:ascii="Arial" w:hAnsi="Arial" w:cs="Arial"/>
                <w:b/>
                <w:bCs/>
                <w:sz w:val="20"/>
                <w:szCs w:val="20"/>
              </w:rPr>
            </w:pPr>
            <w:r w:rsidRPr="00EF34F1">
              <w:rPr>
                <w:rFonts w:ascii="Arial" w:hAnsi="Arial" w:cs="Arial"/>
                <w:b/>
                <w:bCs/>
                <w:sz w:val="20"/>
                <w:szCs w:val="20"/>
              </w:rPr>
              <w:t> </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Standard rate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20%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20%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Reduced rate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5%</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Zero rate</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E32966">
            <w:pPr>
              <w:jc w:val="right"/>
              <w:rPr>
                <w:rFonts w:ascii="Arial" w:hAnsi="Arial" w:cs="Arial"/>
                <w:sz w:val="20"/>
                <w:szCs w:val="20"/>
              </w:rPr>
            </w:pPr>
            <w:r w:rsidRPr="00EF34F1">
              <w:rPr>
                <w:rFonts w:ascii="Arial" w:hAnsi="Arial" w:cs="Arial"/>
                <w:sz w:val="20"/>
                <w:szCs w:val="20"/>
              </w:rPr>
              <w:t>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pPr>
              <w:rPr>
                <w:rFonts w:ascii="Arial" w:hAnsi="Arial" w:cs="Arial"/>
                <w:sz w:val="20"/>
                <w:szCs w:val="20"/>
              </w:rPr>
            </w:pPr>
            <w:r w:rsidRPr="00EF34F1">
              <w:rPr>
                <w:rFonts w:ascii="Arial" w:hAnsi="Arial" w:cs="Arial"/>
                <w:sz w:val="20"/>
                <w:szCs w:val="20"/>
              </w:rPr>
              <w:t>Flat rate of VAT on gross turnover (</w:t>
            </w:r>
            <w:r w:rsidR="005D6C92">
              <w:rPr>
                <w:rFonts w:ascii="Arial" w:hAnsi="Arial" w:cs="Arial"/>
                <w:sz w:val="20"/>
                <w:szCs w:val="20"/>
              </w:rPr>
              <w:t>f</w:t>
            </w:r>
            <w:r w:rsidRPr="00EF34F1">
              <w:rPr>
                <w:rFonts w:ascii="Arial" w:hAnsi="Arial" w:cs="Arial"/>
                <w:sz w:val="20"/>
                <w:szCs w:val="20"/>
              </w:rPr>
              <w:t xml:space="preserve">or </w:t>
            </w:r>
            <w:r w:rsidR="005D6C92">
              <w:rPr>
                <w:rFonts w:ascii="Arial" w:hAnsi="Arial" w:cs="Arial"/>
                <w:sz w:val="20"/>
                <w:szCs w:val="20"/>
              </w:rPr>
              <w:t>l</w:t>
            </w:r>
            <w:r w:rsidRPr="00EF34F1">
              <w:rPr>
                <w:rFonts w:ascii="Arial" w:hAnsi="Arial" w:cs="Arial"/>
                <w:sz w:val="20"/>
                <w:szCs w:val="20"/>
              </w:rPr>
              <w:t xml:space="preserve">imited </w:t>
            </w:r>
            <w:r w:rsidR="005D6C92">
              <w:rPr>
                <w:rFonts w:ascii="Arial" w:hAnsi="Arial" w:cs="Arial"/>
                <w:sz w:val="20"/>
                <w:szCs w:val="20"/>
              </w:rPr>
              <w:t>c</w:t>
            </w:r>
            <w:r w:rsidRPr="00EF34F1">
              <w:rPr>
                <w:rFonts w:ascii="Arial" w:hAnsi="Arial" w:cs="Arial"/>
                <w:sz w:val="20"/>
                <w:szCs w:val="20"/>
              </w:rPr>
              <w:t xml:space="preserve">ost </w:t>
            </w:r>
            <w:r w:rsidR="005D6C92">
              <w:rPr>
                <w:rFonts w:ascii="Arial" w:hAnsi="Arial" w:cs="Arial"/>
                <w:sz w:val="20"/>
                <w:szCs w:val="20"/>
              </w:rPr>
              <w:t>t</w:t>
            </w:r>
            <w:r w:rsidRPr="00EF34F1">
              <w:rPr>
                <w:rFonts w:ascii="Arial" w:hAnsi="Arial" w:cs="Arial"/>
                <w:sz w:val="20"/>
                <w:szCs w:val="20"/>
              </w:rPr>
              <w:t>rader)</w:t>
            </w: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16.5%</w:t>
            </w: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r w:rsidRPr="00EF34F1">
              <w:rPr>
                <w:rFonts w:ascii="Arial" w:hAnsi="Arial" w:cs="Arial"/>
                <w:sz w:val="20"/>
                <w:szCs w:val="20"/>
              </w:rPr>
              <w:t>16.5%</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Normal scheme registration threshold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2D123A"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85,000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2D123A"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85,000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Deregistration threshold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4E6AE8"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83,000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4E6AE8"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83,000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Cash accounting scheme </w:t>
            </w:r>
            <w:r w:rsidR="004E6AE8">
              <w:rPr>
                <w:rFonts w:ascii="Arial" w:hAnsi="Arial" w:cs="Arial"/>
                <w:sz w:val="20"/>
                <w:szCs w:val="20"/>
              </w:rPr>
              <w:t xml:space="preserve">– </w:t>
            </w:r>
            <w:r w:rsidRPr="00EF34F1">
              <w:rPr>
                <w:rFonts w:ascii="Arial" w:hAnsi="Arial" w:cs="Arial"/>
                <w:sz w:val="20"/>
                <w:szCs w:val="20"/>
              </w:rPr>
              <w:t>maximum to join</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4E6AE8"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1,350,000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4E6AE8"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1,350,000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 xml:space="preserve">Cash accounting scheme </w:t>
            </w:r>
            <w:r w:rsidR="004E6AE8">
              <w:rPr>
                <w:rFonts w:ascii="Arial" w:hAnsi="Arial" w:cs="Arial"/>
                <w:sz w:val="20"/>
                <w:szCs w:val="20"/>
              </w:rPr>
              <w:t>–</w:t>
            </w:r>
            <w:r w:rsidRPr="00EF34F1">
              <w:rPr>
                <w:rFonts w:ascii="Arial" w:hAnsi="Arial" w:cs="Arial"/>
                <w:sz w:val="20"/>
                <w:szCs w:val="20"/>
              </w:rPr>
              <w:t xml:space="preserve"> exit threshold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4E6AE8"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1,600,000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4E6AE8"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1,600,000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Annual accounting scheme – maximum to join</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1,350,000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1,350,000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Annual accounting scheme – exit threshold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1,600,000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1,600,000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Flat</w:t>
            </w:r>
            <w:r w:rsidR="0088678D">
              <w:rPr>
                <w:rFonts w:ascii="Arial" w:hAnsi="Arial" w:cs="Arial"/>
                <w:sz w:val="20"/>
                <w:szCs w:val="20"/>
              </w:rPr>
              <w:t>-</w:t>
            </w:r>
            <w:r w:rsidRPr="00EF34F1">
              <w:rPr>
                <w:rFonts w:ascii="Arial" w:hAnsi="Arial" w:cs="Arial"/>
                <w:sz w:val="20"/>
                <w:szCs w:val="20"/>
              </w:rPr>
              <w:t>rate scheme – maximum allowed to join</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150,000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150,000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Flat</w:t>
            </w:r>
            <w:r w:rsidR="0088678D">
              <w:rPr>
                <w:rFonts w:ascii="Arial" w:hAnsi="Arial" w:cs="Arial"/>
                <w:sz w:val="20"/>
                <w:szCs w:val="20"/>
              </w:rPr>
              <w:t>-</w:t>
            </w:r>
            <w:r w:rsidRPr="00EF34F1">
              <w:rPr>
                <w:rFonts w:ascii="Arial" w:hAnsi="Arial" w:cs="Arial"/>
                <w:sz w:val="20"/>
                <w:szCs w:val="20"/>
              </w:rPr>
              <w:t>rate scheme exit threshold</w:t>
            </w:r>
          </w:p>
        </w:tc>
        <w:tc>
          <w:tcPr>
            <w:tcW w:w="1842"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230,000</w:t>
            </w:r>
          </w:p>
        </w:tc>
        <w:tc>
          <w:tcPr>
            <w:tcW w:w="1700" w:type="dxa"/>
            <w:tcBorders>
              <w:top w:val="single" w:sz="4" w:space="0" w:color="auto"/>
              <w:left w:val="single" w:sz="4" w:space="0" w:color="auto"/>
              <w:bottom w:val="single" w:sz="4" w:space="0" w:color="auto"/>
              <w:right w:val="single" w:sz="4" w:space="0" w:color="auto"/>
            </w:tcBorders>
            <w:noWrap/>
            <w:hideMark/>
          </w:tcPr>
          <w:p w:rsidR="000775D6" w:rsidRPr="00EF34F1" w:rsidRDefault="0088678D" w:rsidP="00E32966">
            <w:pPr>
              <w:jc w:val="right"/>
              <w:rPr>
                <w:rFonts w:ascii="Arial" w:hAnsi="Arial" w:cs="Arial"/>
                <w:sz w:val="20"/>
                <w:szCs w:val="20"/>
              </w:rPr>
            </w:pPr>
            <w:r>
              <w:rPr>
                <w:rFonts w:ascii="Arial" w:hAnsi="Arial" w:cs="Arial"/>
                <w:sz w:val="20"/>
                <w:szCs w:val="20"/>
              </w:rPr>
              <w:t>£</w:t>
            </w:r>
            <w:r w:rsidR="000775D6" w:rsidRPr="00EF34F1">
              <w:rPr>
                <w:rFonts w:ascii="Arial" w:hAnsi="Arial" w:cs="Arial"/>
                <w:sz w:val="20"/>
                <w:szCs w:val="20"/>
              </w:rPr>
              <w:t>230,000</w:t>
            </w:r>
          </w:p>
        </w:tc>
      </w:tr>
      <w:tr w:rsidR="000775D6" w:rsidRPr="00EF34F1" w:rsidTr="004637DA">
        <w:trPr>
          <w:trHeight w:val="315"/>
        </w:trPr>
        <w:tc>
          <w:tcPr>
            <w:tcW w:w="6376" w:type="dxa"/>
            <w:tcBorders>
              <w:top w:val="single" w:sz="4" w:space="0" w:color="auto"/>
              <w:left w:val="single" w:sz="4" w:space="0" w:color="auto"/>
              <w:bottom w:val="single" w:sz="4" w:space="0" w:color="auto"/>
              <w:right w:val="single" w:sz="4" w:space="0" w:color="auto"/>
            </w:tcBorders>
            <w:noWrap/>
          </w:tcPr>
          <w:p w:rsidR="000775D6" w:rsidRPr="00EF34F1" w:rsidRDefault="000775D6">
            <w:pP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0775D6" w:rsidRPr="00EF34F1" w:rsidRDefault="000775D6" w:rsidP="00E32966">
            <w:pPr>
              <w:jc w:val="right"/>
              <w:rPr>
                <w:rFonts w:ascii="Arial" w:hAnsi="Arial" w:cs="Arial"/>
                <w:sz w:val="20"/>
                <w:szCs w:val="20"/>
              </w:rPr>
            </w:pPr>
          </w:p>
        </w:tc>
      </w:tr>
    </w:tbl>
    <w:p w:rsidR="004637DA" w:rsidRDefault="004637DA">
      <w:r>
        <w:br w:type="page"/>
      </w:r>
    </w:p>
    <w:tbl>
      <w:tblPr>
        <w:tblW w:w="9918" w:type="dxa"/>
        <w:tblLayout w:type="fixed"/>
        <w:tblLook w:val="04A0" w:firstRow="1" w:lastRow="0" w:firstColumn="1" w:lastColumn="0" w:noHBand="0" w:noVBand="1"/>
      </w:tblPr>
      <w:tblGrid>
        <w:gridCol w:w="6215"/>
        <w:gridCol w:w="1800"/>
        <w:gridCol w:w="1662"/>
        <w:gridCol w:w="241"/>
      </w:tblGrid>
      <w:tr w:rsidR="00514597"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514597" w:rsidRPr="00EF34F1" w:rsidRDefault="00514597" w:rsidP="00AD77CA">
            <w:pPr>
              <w:rPr>
                <w:rFonts w:ascii="Arial" w:hAnsi="Arial" w:cs="Arial"/>
                <w:sz w:val="20"/>
                <w:szCs w:val="20"/>
              </w:rPr>
            </w:pPr>
            <w:r w:rsidRPr="00EF34F1">
              <w:rPr>
                <w:rFonts w:ascii="Arial" w:hAnsi="Arial" w:cs="Arial"/>
                <w:sz w:val="20"/>
                <w:szCs w:val="20"/>
              </w:rPr>
              <w:lastRenderedPageBreak/>
              <w:t> </w:t>
            </w:r>
          </w:p>
        </w:tc>
        <w:tc>
          <w:tcPr>
            <w:tcW w:w="18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514597" w:rsidRPr="00EF34F1" w:rsidRDefault="00514597" w:rsidP="00AD77CA">
            <w:pPr>
              <w:jc w:val="right"/>
              <w:rPr>
                <w:rFonts w:ascii="Arial" w:hAnsi="Arial" w:cs="Arial"/>
                <w:b/>
                <w:bCs/>
                <w:sz w:val="24"/>
                <w:szCs w:val="24"/>
              </w:rPr>
            </w:pPr>
            <w:r w:rsidRPr="00EF34F1">
              <w:rPr>
                <w:rFonts w:ascii="Arial" w:hAnsi="Arial" w:cs="Arial"/>
                <w:b/>
                <w:bCs/>
                <w:sz w:val="24"/>
                <w:szCs w:val="24"/>
              </w:rPr>
              <w:t>2019/20</w:t>
            </w:r>
          </w:p>
        </w:tc>
        <w:tc>
          <w:tcPr>
            <w:tcW w:w="166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514597" w:rsidRPr="00EF34F1" w:rsidRDefault="00514597" w:rsidP="00AD77CA">
            <w:pPr>
              <w:jc w:val="right"/>
              <w:rPr>
                <w:rFonts w:ascii="Arial" w:hAnsi="Arial" w:cs="Arial"/>
                <w:b/>
                <w:bCs/>
                <w:sz w:val="24"/>
                <w:szCs w:val="24"/>
              </w:rPr>
            </w:pPr>
            <w:r w:rsidRPr="00EF34F1">
              <w:rPr>
                <w:rFonts w:ascii="Arial" w:hAnsi="Arial" w:cs="Arial"/>
                <w:b/>
                <w:bCs/>
                <w:sz w:val="24"/>
                <w:szCs w:val="24"/>
              </w:rPr>
              <w:t>2020/21</w:t>
            </w:r>
          </w:p>
        </w:tc>
      </w:tr>
      <w:tr w:rsidR="000775D6" w:rsidRPr="00EF34F1" w:rsidTr="00514597">
        <w:trPr>
          <w:trHeight w:val="330"/>
        </w:trPr>
        <w:tc>
          <w:tcPr>
            <w:tcW w:w="6215"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r w:rsidRPr="00EF34F1">
              <w:rPr>
                <w:rFonts w:ascii="Arial" w:hAnsi="Arial" w:cs="Arial"/>
                <w:b/>
                <w:bCs/>
                <w:sz w:val="20"/>
                <w:szCs w:val="20"/>
              </w:rPr>
              <w:t xml:space="preserve">Annual </w:t>
            </w:r>
            <w:r w:rsidR="00514597">
              <w:rPr>
                <w:rFonts w:ascii="Arial" w:hAnsi="Arial" w:cs="Arial"/>
                <w:b/>
                <w:bCs/>
                <w:sz w:val="20"/>
                <w:szCs w:val="20"/>
              </w:rPr>
              <w:t>t</w:t>
            </w:r>
            <w:r w:rsidRPr="00EF34F1">
              <w:rPr>
                <w:rFonts w:ascii="Arial" w:hAnsi="Arial" w:cs="Arial"/>
                <w:b/>
                <w:bCs/>
                <w:sz w:val="20"/>
                <w:szCs w:val="20"/>
              </w:rPr>
              <w:t xml:space="preserve">ax on </w:t>
            </w:r>
            <w:r w:rsidR="00514597">
              <w:rPr>
                <w:rFonts w:ascii="Arial" w:hAnsi="Arial" w:cs="Arial"/>
                <w:b/>
                <w:bCs/>
                <w:sz w:val="20"/>
                <w:szCs w:val="20"/>
              </w:rPr>
              <w:t>e</w:t>
            </w:r>
            <w:r w:rsidRPr="00EF34F1">
              <w:rPr>
                <w:rFonts w:ascii="Arial" w:hAnsi="Arial" w:cs="Arial"/>
                <w:b/>
                <w:bCs/>
                <w:sz w:val="20"/>
                <w:szCs w:val="20"/>
              </w:rPr>
              <w:t xml:space="preserve">nveloped </w:t>
            </w:r>
            <w:r w:rsidR="00514597">
              <w:rPr>
                <w:rFonts w:ascii="Arial" w:hAnsi="Arial" w:cs="Arial"/>
                <w:b/>
                <w:bCs/>
                <w:sz w:val="20"/>
                <w:szCs w:val="20"/>
              </w:rPr>
              <w:t>d</w:t>
            </w:r>
            <w:r w:rsidRPr="00EF34F1">
              <w:rPr>
                <w:rFonts w:ascii="Arial" w:hAnsi="Arial" w:cs="Arial"/>
                <w:b/>
                <w:bCs/>
                <w:sz w:val="20"/>
                <w:szCs w:val="20"/>
              </w:rPr>
              <w:t>wellings (ATED)</w:t>
            </w:r>
          </w:p>
        </w:tc>
        <w:tc>
          <w:tcPr>
            <w:tcW w:w="1800"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6F5E2D" w:rsidP="00E32966">
            <w:pPr>
              <w:jc w:val="right"/>
              <w:rPr>
                <w:rFonts w:ascii="Arial" w:hAnsi="Arial" w:cs="Arial"/>
                <w:b/>
                <w:bCs/>
                <w:sz w:val="20"/>
                <w:szCs w:val="20"/>
              </w:rPr>
            </w:pPr>
            <w:r>
              <w:rPr>
                <w:rFonts w:ascii="Arial" w:hAnsi="Arial" w:cs="Arial"/>
                <w:b/>
                <w:bCs/>
                <w:sz w:val="20"/>
                <w:szCs w:val="20"/>
              </w:rPr>
              <w:t>£</w:t>
            </w:r>
            <w:r w:rsidR="000775D6" w:rsidRPr="00EF34F1">
              <w:rPr>
                <w:rFonts w:ascii="Arial" w:hAnsi="Arial" w:cs="Arial"/>
                <w:b/>
                <w:bCs/>
                <w:sz w:val="20"/>
                <w:szCs w:val="20"/>
              </w:rPr>
              <w:t> </w:t>
            </w:r>
          </w:p>
        </w:tc>
        <w:tc>
          <w:tcPr>
            <w:tcW w:w="1662"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6F5E2D" w:rsidP="00E32966">
            <w:pPr>
              <w:jc w:val="right"/>
              <w:rPr>
                <w:rFonts w:ascii="Arial" w:hAnsi="Arial" w:cs="Arial"/>
                <w:b/>
                <w:bCs/>
                <w:sz w:val="20"/>
                <w:szCs w:val="20"/>
              </w:rPr>
            </w:pPr>
            <w:r>
              <w:rPr>
                <w:rFonts w:ascii="Arial" w:hAnsi="Arial" w:cs="Arial"/>
                <w:b/>
                <w:bCs/>
                <w:sz w:val="20"/>
                <w:szCs w:val="20"/>
              </w:rPr>
              <w:t>£</w:t>
            </w:r>
            <w:r w:rsidR="000775D6" w:rsidRPr="00EF34F1">
              <w:rPr>
                <w:rFonts w:ascii="Arial" w:hAnsi="Arial" w:cs="Arial"/>
                <w:b/>
                <w:bCs/>
                <w:sz w:val="20"/>
                <w:szCs w:val="20"/>
              </w:rPr>
              <w:t> </w:t>
            </w:r>
          </w:p>
        </w:tc>
        <w:tc>
          <w:tcPr>
            <w:tcW w:w="241"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rsidR="000775D6" w:rsidRPr="00EF34F1" w:rsidRDefault="000775D6">
            <w:pPr>
              <w:rPr>
                <w:rFonts w:ascii="Arial" w:hAnsi="Arial" w:cs="Arial"/>
                <w:b/>
                <w:bCs/>
                <w:sz w:val="20"/>
                <w:szCs w:val="20"/>
              </w:rPr>
            </w:pPr>
          </w:p>
        </w:tc>
      </w:tr>
      <w:tr w:rsidR="000775D6"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More than £0.5m but not more than £1m</w:t>
            </w:r>
          </w:p>
        </w:tc>
        <w:tc>
          <w:tcPr>
            <w:tcW w:w="18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6F5E2D">
            <w:pPr>
              <w:jc w:val="right"/>
              <w:rPr>
                <w:rFonts w:ascii="Arial" w:hAnsi="Arial" w:cs="Arial"/>
                <w:sz w:val="20"/>
                <w:szCs w:val="20"/>
              </w:rPr>
            </w:pPr>
            <w:r w:rsidRPr="00EF34F1">
              <w:rPr>
                <w:rFonts w:ascii="Arial" w:hAnsi="Arial" w:cs="Arial"/>
                <w:sz w:val="20"/>
                <w:szCs w:val="20"/>
              </w:rPr>
              <w:t>3,650</w:t>
            </w:r>
          </w:p>
        </w:tc>
        <w:tc>
          <w:tcPr>
            <w:tcW w:w="1662" w:type="dxa"/>
            <w:tcBorders>
              <w:top w:val="single" w:sz="4" w:space="0" w:color="auto"/>
              <w:left w:val="single" w:sz="4" w:space="0" w:color="auto"/>
              <w:bottom w:val="single" w:sz="4" w:space="0" w:color="auto"/>
              <w:right w:val="single" w:sz="4" w:space="0" w:color="auto"/>
            </w:tcBorders>
            <w:noWrap/>
          </w:tcPr>
          <w:p w:rsidR="000775D6" w:rsidRPr="00EF34F1" w:rsidRDefault="000775D6" w:rsidP="006F5E2D">
            <w:pPr>
              <w:jc w:val="right"/>
              <w:rPr>
                <w:rFonts w:ascii="Arial" w:hAnsi="Arial" w:cs="Arial"/>
                <w:sz w:val="20"/>
                <w:szCs w:val="20"/>
              </w:rPr>
            </w:pPr>
            <w:r w:rsidRPr="00EF34F1">
              <w:rPr>
                <w:rFonts w:ascii="Arial" w:hAnsi="Arial" w:cs="Arial"/>
                <w:sz w:val="20"/>
                <w:szCs w:val="20"/>
              </w:rPr>
              <w:t>3,700</w:t>
            </w:r>
          </w:p>
        </w:tc>
      </w:tr>
      <w:tr w:rsidR="000775D6"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More than £1m but not more than £2m</w:t>
            </w:r>
          </w:p>
        </w:tc>
        <w:tc>
          <w:tcPr>
            <w:tcW w:w="18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6F5E2D">
            <w:pPr>
              <w:jc w:val="right"/>
              <w:rPr>
                <w:rFonts w:ascii="Arial" w:hAnsi="Arial" w:cs="Arial"/>
                <w:sz w:val="20"/>
                <w:szCs w:val="20"/>
              </w:rPr>
            </w:pPr>
            <w:r w:rsidRPr="00EF34F1">
              <w:rPr>
                <w:rFonts w:ascii="Arial" w:hAnsi="Arial" w:cs="Arial"/>
                <w:sz w:val="20"/>
                <w:szCs w:val="20"/>
              </w:rPr>
              <w:t>7,400</w:t>
            </w:r>
          </w:p>
        </w:tc>
        <w:tc>
          <w:tcPr>
            <w:tcW w:w="1662" w:type="dxa"/>
            <w:tcBorders>
              <w:top w:val="single" w:sz="4" w:space="0" w:color="auto"/>
              <w:left w:val="single" w:sz="4" w:space="0" w:color="auto"/>
              <w:bottom w:val="single" w:sz="4" w:space="0" w:color="auto"/>
              <w:right w:val="single" w:sz="4" w:space="0" w:color="auto"/>
            </w:tcBorders>
            <w:noWrap/>
          </w:tcPr>
          <w:p w:rsidR="000775D6" w:rsidRPr="00EF34F1" w:rsidRDefault="000775D6" w:rsidP="006F5E2D">
            <w:pPr>
              <w:jc w:val="right"/>
              <w:rPr>
                <w:rFonts w:ascii="Arial" w:hAnsi="Arial" w:cs="Arial"/>
                <w:sz w:val="20"/>
                <w:szCs w:val="20"/>
              </w:rPr>
            </w:pPr>
            <w:r w:rsidRPr="00EF34F1">
              <w:rPr>
                <w:rFonts w:ascii="Arial" w:hAnsi="Arial" w:cs="Arial"/>
                <w:sz w:val="20"/>
                <w:szCs w:val="20"/>
              </w:rPr>
              <w:t>7,500</w:t>
            </w:r>
          </w:p>
        </w:tc>
      </w:tr>
      <w:tr w:rsidR="000775D6"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More than £2m but not more than £5m</w:t>
            </w:r>
          </w:p>
        </w:tc>
        <w:tc>
          <w:tcPr>
            <w:tcW w:w="18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6F5E2D">
            <w:pPr>
              <w:jc w:val="right"/>
              <w:rPr>
                <w:rFonts w:ascii="Arial" w:hAnsi="Arial" w:cs="Arial"/>
                <w:sz w:val="20"/>
                <w:szCs w:val="20"/>
              </w:rPr>
            </w:pPr>
            <w:r w:rsidRPr="00EF34F1">
              <w:rPr>
                <w:rFonts w:ascii="Arial" w:hAnsi="Arial" w:cs="Arial"/>
                <w:sz w:val="20"/>
                <w:szCs w:val="20"/>
              </w:rPr>
              <w:t>24,800</w:t>
            </w:r>
          </w:p>
        </w:tc>
        <w:tc>
          <w:tcPr>
            <w:tcW w:w="1662" w:type="dxa"/>
            <w:tcBorders>
              <w:top w:val="single" w:sz="4" w:space="0" w:color="auto"/>
              <w:left w:val="single" w:sz="4" w:space="0" w:color="auto"/>
              <w:bottom w:val="single" w:sz="4" w:space="0" w:color="auto"/>
              <w:right w:val="single" w:sz="4" w:space="0" w:color="auto"/>
            </w:tcBorders>
            <w:noWrap/>
          </w:tcPr>
          <w:p w:rsidR="000775D6" w:rsidRPr="00EF34F1" w:rsidRDefault="000775D6" w:rsidP="006F5E2D">
            <w:pPr>
              <w:jc w:val="right"/>
              <w:rPr>
                <w:rFonts w:ascii="Arial" w:hAnsi="Arial" w:cs="Arial"/>
                <w:sz w:val="20"/>
                <w:szCs w:val="20"/>
              </w:rPr>
            </w:pPr>
            <w:r w:rsidRPr="00EF34F1">
              <w:rPr>
                <w:rFonts w:ascii="Arial" w:hAnsi="Arial" w:cs="Arial"/>
                <w:sz w:val="20"/>
                <w:szCs w:val="20"/>
              </w:rPr>
              <w:t>25,200</w:t>
            </w:r>
          </w:p>
        </w:tc>
      </w:tr>
      <w:tr w:rsidR="000775D6"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More than £5m but not more than £10m</w:t>
            </w:r>
          </w:p>
        </w:tc>
        <w:tc>
          <w:tcPr>
            <w:tcW w:w="18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6F5E2D">
            <w:pPr>
              <w:jc w:val="right"/>
              <w:rPr>
                <w:rFonts w:ascii="Arial" w:hAnsi="Arial" w:cs="Arial"/>
                <w:sz w:val="20"/>
                <w:szCs w:val="20"/>
              </w:rPr>
            </w:pPr>
            <w:r w:rsidRPr="00EF34F1">
              <w:rPr>
                <w:rFonts w:ascii="Arial" w:hAnsi="Arial" w:cs="Arial"/>
                <w:sz w:val="20"/>
                <w:szCs w:val="20"/>
              </w:rPr>
              <w:t>57,900</w:t>
            </w:r>
          </w:p>
        </w:tc>
        <w:tc>
          <w:tcPr>
            <w:tcW w:w="1662" w:type="dxa"/>
            <w:tcBorders>
              <w:top w:val="single" w:sz="4" w:space="0" w:color="auto"/>
              <w:left w:val="single" w:sz="4" w:space="0" w:color="auto"/>
              <w:bottom w:val="single" w:sz="4" w:space="0" w:color="auto"/>
              <w:right w:val="single" w:sz="4" w:space="0" w:color="auto"/>
            </w:tcBorders>
            <w:noWrap/>
          </w:tcPr>
          <w:p w:rsidR="000775D6" w:rsidRPr="00EF34F1" w:rsidRDefault="000775D6" w:rsidP="006F5E2D">
            <w:pPr>
              <w:jc w:val="right"/>
              <w:rPr>
                <w:rFonts w:ascii="Arial" w:hAnsi="Arial" w:cs="Arial"/>
                <w:sz w:val="20"/>
                <w:szCs w:val="20"/>
              </w:rPr>
            </w:pPr>
            <w:r w:rsidRPr="00EF34F1">
              <w:rPr>
                <w:rFonts w:ascii="Arial" w:hAnsi="Arial" w:cs="Arial"/>
                <w:sz w:val="20"/>
                <w:szCs w:val="20"/>
              </w:rPr>
              <w:t>58,850</w:t>
            </w:r>
          </w:p>
        </w:tc>
      </w:tr>
      <w:tr w:rsidR="000775D6"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More than £10m but not more than £20m</w:t>
            </w:r>
          </w:p>
        </w:tc>
        <w:tc>
          <w:tcPr>
            <w:tcW w:w="18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6F5E2D">
            <w:pPr>
              <w:jc w:val="right"/>
              <w:rPr>
                <w:rFonts w:ascii="Arial" w:hAnsi="Arial" w:cs="Arial"/>
                <w:sz w:val="20"/>
                <w:szCs w:val="20"/>
              </w:rPr>
            </w:pPr>
            <w:r w:rsidRPr="00EF34F1">
              <w:rPr>
                <w:rFonts w:ascii="Arial" w:hAnsi="Arial" w:cs="Arial"/>
                <w:sz w:val="20"/>
                <w:szCs w:val="20"/>
              </w:rPr>
              <w:t>116,100</w:t>
            </w:r>
          </w:p>
        </w:tc>
        <w:tc>
          <w:tcPr>
            <w:tcW w:w="1662" w:type="dxa"/>
            <w:tcBorders>
              <w:top w:val="single" w:sz="4" w:space="0" w:color="auto"/>
              <w:left w:val="single" w:sz="4" w:space="0" w:color="auto"/>
              <w:bottom w:val="single" w:sz="4" w:space="0" w:color="auto"/>
              <w:right w:val="single" w:sz="4" w:space="0" w:color="auto"/>
            </w:tcBorders>
            <w:noWrap/>
          </w:tcPr>
          <w:p w:rsidR="000775D6" w:rsidRPr="00EF34F1" w:rsidRDefault="000775D6" w:rsidP="006F5E2D">
            <w:pPr>
              <w:jc w:val="right"/>
              <w:rPr>
                <w:rFonts w:ascii="Arial" w:hAnsi="Arial" w:cs="Arial"/>
                <w:sz w:val="20"/>
                <w:szCs w:val="20"/>
              </w:rPr>
            </w:pPr>
            <w:r w:rsidRPr="00EF34F1">
              <w:rPr>
                <w:rFonts w:ascii="Arial" w:hAnsi="Arial" w:cs="Arial"/>
                <w:sz w:val="20"/>
                <w:szCs w:val="20"/>
              </w:rPr>
              <w:t>118,050</w:t>
            </w:r>
          </w:p>
        </w:tc>
      </w:tr>
      <w:tr w:rsidR="000775D6" w:rsidRPr="00EF34F1" w:rsidTr="00514597">
        <w:trPr>
          <w:gridAfter w:val="1"/>
          <w:wAfter w:w="241" w:type="dxa"/>
          <w:trHeight w:val="330"/>
        </w:trPr>
        <w:tc>
          <w:tcPr>
            <w:tcW w:w="6215"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pPr>
              <w:rPr>
                <w:rFonts w:ascii="Arial" w:hAnsi="Arial" w:cs="Arial"/>
                <w:sz w:val="20"/>
                <w:szCs w:val="20"/>
              </w:rPr>
            </w:pPr>
            <w:r w:rsidRPr="00EF34F1">
              <w:rPr>
                <w:rFonts w:ascii="Arial" w:hAnsi="Arial" w:cs="Arial"/>
                <w:sz w:val="20"/>
                <w:szCs w:val="20"/>
              </w:rPr>
              <w:t>More than £20m</w:t>
            </w:r>
          </w:p>
        </w:tc>
        <w:tc>
          <w:tcPr>
            <w:tcW w:w="1800" w:type="dxa"/>
            <w:tcBorders>
              <w:top w:val="single" w:sz="4" w:space="0" w:color="auto"/>
              <w:left w:val="single" w:sz="4" w:space="0" w:color="auto"/>
              <w:bottom w:val="single" w:sz="4" w:space="0" w:color="auto"/>
              <w:right w:val="single" w:sz="4" w:space="0" w:color="auto"/>
            </w:tcBorders>
            <w:noWrap/>
            <w:hideMark/>
          </w:tcPr>
          <w:p w:rsidR="000775D6" w:rsidRPr="00EF34F1" w:rsidRDefault="000775D6" w:rsidP="006F5E2D">
            <w:pPr>
              <w:jc w:val="right"/>
              <w:rPr>
                <w:rFonts w:ascii="Arial" w:hAnsi="Arial" w:cs="Arial"/>
                <w:sz w:val="20"/>
                <w:szCs w:val="20"/>
              </w:rPr>
            </w:pPr>
            <w:r w:rsidRPr="00EF34F1">
              <w:rPr>
                <w:rFonts w:ascii="Arial" w:hAnsi="Arial" w:cs="Arial"/>
                <w:sz w:val="20"/>
                <w:szCs w:val="20"/>
              </w:rPr>
              <w:t>232,350</w:t>
            </w:r>
          </w:p>
        </w:tc>
        <w:tc>
          <w:tcPr>
            <w:tcW w:w="1662" w:type="dxa"/>
            <w:tcBorders>
              <w:top w:val="single" w:sz="4" w:space="0" w:color="auto"/>
              <w:left w:val="single" w:sz="4" w:space="0" w:color="auto"/>
              <w:bottom w:val="single" w:sz="4" w:space="0" w:color="auto"/>
              <w:right w:val="single" w:sz="4" w:space="0" w:color="auto"/>
            </w:tcBorders>
            <w:noWrap/>
          </w:tcPr>
          <w:p w:rsidR="000775D6" w:rsidRPr="00EF34F1" w:rsidRDefault="000775D6" w:rsidP="006F5E2D">
            <w:pPr>
              <w:jc w:val="right"/>
              <w:rPr>
                <w:rFonts w:ascii="Arial" w:hAnsi="Arial" w:cs="Arial"/>
                <w:sz w:val="20"/>
                <w:szCs w:val="20"/>
              </w:rPr>
            </w:pPr>
            <w:r w:rsidRPr="00EF34F1">
              <w:rPr>
                <w:rFonts w:ascii="Arial" w:hAnsi="Arial" w:cs="Arial"/>
                <w:sz w:val="20"/>
                <w:szCs w:val="20"/>
              </w:rPr>
              <w:t>236,250</w:t>
            </w:r>
          </w:p>
        </w:tc>
      </w:tr>
      <w:tr w:rsidR="000775D6" w:rsidRPr="00EF34F1" w:rsidTr="00514597">
        <w:trPr>
          <w:gridBefore w:val="1"/>
          <w:wBefore w:w="6215" w:type="dxa"/>
          <w:trHeight w:val="300"/>
        </w:trPr>
        <w:tc>
          <w:tcPr>
            <w:tcW w:w="1800" w:type="dxa"/>
            <w:hideMark/>
          </w:tcPr>
          <w:p w:rsidR="000775D6" w:rsidRPr="00EF34F1" w:rsidRDefault="000775D6">
            <w:pPr>
              <w:rPr>
                <w:rFonts w:ascii="Arial" w:hAnsi="Arial" w:cs="Arial"/>
                <w:sz w:val="20"/>
                <w:szCs w:val="20"/>
              </w:rPr>
            </w:pPr>
          </w:p>
        </w:tc>
        <w:tc>
          <w:tcPr>
            <w:tcW w:w="1662" w:type="dxa"/>
            <w:hideMark/>
          </w:tcPr>
          <w:p w:rsidR="000775D6" w:rsidRPr="00EF34F1" w:rsidRDefault="000775D6">
            <w:pPr>
              <w:rPr>
                <w:rFonts w:ascii="Arial" w:hAnsi="Arial" w:cs="Arial"/>
                <w:sz w:val="20"/>
                <w:szCs w:val="20"/>
              </w:rPr>
            </w:pPr>
          </w:p>
        </w:tc>
        <w:tc>
          <w:tcPr>
            <w:tcW w:w="241" w:type="dxa"/>
            <w:hideMark/>
          </w:tcPr>
          <w:p w:rsidR="000775D6" w:rsidRPr="00EF34F1" w:rsidRDefault="000775D6">
            <w:pPr>
              <w:rPr>
                <w:rFonts w:ascii="Arial" w:hAnsi="Arial" w:cs="Arial"/>
                <w:sz w:val="20"/>
                <w:szCs w:val="20"/>
              </w:rPr>
            </w:pPr>
          </w:p>
        </w:tc>
      </w:tr>
      <w:tr w:rsidR="000775D6" w:rsidRPr="00EF34F1" w:rsidTr="00514597">
        <w:trPr>
          <w:trHeight w:val="300"/>
        </w:trPr>
        <w:tc>
          <w:tcPr>
            <w:tcW w:w="6215" w:type="dxa"/>
            <w:noWrap/>
            <w:hideMark/>
          </w:tcPr>
          <w:p w:rsidR="005C7810" w:rsidRPr="009C7AC1" w:rsidRDefault="005C7810">
            <w:pPr>
              <w:rPr>
                <w:rFonts w:ascii="Arial" w:hAnsi="Arial" w:cs="Arial"/>
                <w:sz w:val="20"/>
                <w:szCs w:val="20"/>
              </w:rPr>
            </w:pPr>
            <w:r w:rsidRPr="009C7AC1">
              <w:rPr>
                <w:rFonts w:ascii="Arial" w:hAnsi="Arial" w:cs="Arial"/>
                <w:sz w:val="20"/>
                <w:szCs w:val="20"/>
              </w:rPr>
              <w:t>March 2020</w:t>
            </w:r>
          </w:p>
          <w:p w:rsidR="000775D6" w:rsidRPr="00EF34F1" w:rsidRDefault="000775D6">
            <w:pPr>
              <w:rPr>
                <w:rFonts w:ascii="Arial" w:hAnsi="Arial" w:cs="Arial"/>
                <w:b/>
                <w:bCs/>
                <w:sz w:val="20"/>
                <w:szCs w:val="20"/>
              </w:rPr>
            </w:pPr>
            <w:r w:rsidRPr="00EF34F1">
              <w:rPr>
                <w:rFonts w:ascii="Arial" w:hAnsi="Arial" w:cs="Arial"/>
                <w:b/>
                <w:bCs/>
                <w:sz w:val="20"/>
                <w:szCs w:val="20"/>
              </w:rPr>
              <w:t>LEGAL NOTICE</w:t>
            </w:r>
          </w:p>
        </w:tc>
        <w:tc>
          <w:tcPr>
            <w:tcW w:w="1800" w:type="dxa"/>
            <w:noWrap/>
            <w:hideMark/>
          </w:tcPr>
          <w:p w:rsidR="000775D6" w:rsidRPr="00EF34F1" w:rsidRDefault="000775D6">
            <w:pPr>
              <w:rPr>
                <w:rFonts w:ascii="Arial" w:hAnsi="Arial" w:cs="Arial"/>
                <w:sz w:val="20"/>
                <w:szCs w:val="20"/>
              </w:rPr>
            </w:pPr>
          </w:p>
        </w:tc>
        <w:tc>
          <w:tcPr>
            <w:tcW w:w="1662" w:type="dxa"/>
            <w:noWrap/>
            <w:hideMark/>
          </w:tcPr>
          <w:p w:rsidR="000775D6" w:rsidRPr="00EF34F1" w:rsidRDefault="000775D6">
            <w:pPr>
              <w:rPr>
                <w:rFonts w:ascii="Arial" w:hAnsi="Arial" w:cs="Arial"/>
                <w:sz w:val="20"/>
                <w:szCs w:val="20"/>
              </w:rPr>
            </w:pPr>
          </w:p>
        </w:tc>
        <w:tc>
          <w:tcPr>
            <w:tcW w:w="241" w:type="dxa"/>
            <w:noWrap/>
            <w:hideMark/>
          </w:tcPr>
          <w:p w:rsidR="000775D6" w:rsidRPr="00EF34F1" w:rsidRDefault="000775D6">
            <w:pPr>
              <w:rPr>
                <w:rFonts w:ascii="Arial" w:hAnsi="Arial" w:cs="Arial"/>
                <w:sz w:val="20"/>
                <w:szCs w:val="20"/>
              </w:rPr>
            </w:pPr>
          </w:p>
        </w:tc>
      </w:tr>
      <w:tr w:rsidR="00683DEE" w:rsidRPr="009E215C" w:rsidTr="00514597">
        <w:trPr>
          <w:gridAfter w:val="1"/>
          <w:wAfter w:w="241" w:type="dxa"/>
          <w:trHeight w:val="300"/>
        </w:trPr>
        <w:tc>
          <w:tcPr>
            <w:tcW w:w="9677" w:type="dxa"/>
            <w:gridSpan w:val="3"/>
            <w:noWrap/>
            <w:hideMark/>
          </w:tcPr>
          <w:p w:rsidR="00683DEE" w:rsidRPr="009E215C" w:rsidRDefault="00683DEE" w:rsidP="00683DEE">
            <w:pPr>
              <w:rPr>
                <w:rFonts w:ascii="Arial" w:hAnsi="Arial" w:cs="Arial"/>
                <w:sz w:val="20"/>
                <w:szCs w:val="20"/>
              </w:rPr>
            </w:pPr>
            <w:r w:rsidRPr="00EF34F1">
              <w:rPr>
                <w:rFonts w:ascii="Arial" w:hAnsi="Arial" w:cs="Arial"/>
                <w:sz w:val="20"/>
                <w:szCs w:val="20"/>
              </w:rPr>
              <w:t xml:space="preserve">This is a basic guide. It should not be used as a definitive guide, since individual circumstances may vary. </w:t>
            </w:r>
            <w:r w:rsidR="004274F5">
              <w:rPr>
                <w:rFonts w:ascii="Arial" w:hAnsi="Arial" w:cs="Arial"/>
                <w:sz w:val="20"/>
                <w:szCs w:val="20"/>
              </w:rPr>
              <w:t>Please contact us for specific advice.</w:t>
            </w:r>
            <w:bookmarkStart w:id="0" w:name="_GoBack"/>
            <w:bookmarkEnd w:id="0"/>
          </w:p>
          <w:p w:rsidR="00683DEE" w:rsidRPr="009E215C" w:rsidRDefault="00683DEE" w:rsidP="00683DEE">
            <w:pPr>
              <w:rPr>
                <w:rFonts w:ascii="Arial" w:hAnsi="Arial" w:cs="Arial"/>
                <w:sz w:val="20"/>
                <w:szCs w:val="20"/>
              </w:rPr>
            </w:pPr>
          </w:p>
        </w:tc>
      </w:tr>
    </w:tbl>
    <w:p w:rsidR="0045710D" w:rsidRPr="009E215C" w:rsidRDefault="0045710D">
      <w:pPr>
        <w:rPr>
          <w:rFonts w:ascii="Arial" w:hAnsi="Arial" w:cs="Arial"/>
          <w:sz w:val="20"/>
          <w:szCs w:val="20"/>
        </w:rPr>
      </w:pPr>
    </w:p>
    <w:sectPr w:rsidR="0045710D" w:rsidRPr="009E215C" w:rsidSect="00765CE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9C" w:rsidRDefault="009A379C" w:rsidP="00B33BC4">
      <w:pPr>
        <w:spacing w:after="0" w:line="240" w:lineRule="auto"/>
      </w:pPr>
      <w:r>
        <w:separator/>
      </w:r>
    </w:p>
  </w:endnote>
  <w:endnote w:type="continuationSeparator" w:id="0">
    <w:p w:rsidR="009A379C" w:rsidRDefault="009A379C" w:rsidP="00B3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8F" w:rsidRDefault="00361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811473"/>
      <w:docPartObj>
        <w:docPartGallery w:val="Page Numbers (Bottom of Page)"/>
        <w:docPartUnique/>
      </w:docPartObj>
    </w:sdtPr>
    <w:sdtEndPr>
      <w:rPr>
        <w:noProof/>
      </w:rPr>
    </w:sdtEndPr>
    <w:sdtContent>
      <w:p w:rsidR="00361A8F" w:rsidRDefault="00361A8F">
        <w:pPr>
          <w:pStyle w:val="Footer"/>
          <w:jc w:val="center"/>
        </w:pPr>
        <w:r>
          <w:fldChar w:fldCharType="begin"/>
        </w:r>
        <w:r>
          <w:instrText xml:space="preserve"> PAGE   \* MERGEFORMAT </w:instrText>
        </w:r>
        <w:r>
          <w:fldChar w:fldCharType="separate"/>
        </w:r>
        <w:r w:rsidR="004274F5">
          <w:rPr>
            <w:noProof/>
          </w:rPr>
          <w:t>9</w:t>
        </w:r>
        <w:r>
          <w:rPr>
            <w:noProof/>
          </w:rPr>
          <w:fldChar w:fldCharType="end"/>
        </w:r>
      </w:p>
    </w:sdtContent>
  </w:sdt>
  <w:p w:rsidR="00361A8F" w:rsidRDefault="00361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8F" w:rsidRDefault="00361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9C" w:rsidRDefault="009A379C" w:rsidP="00B33BC4">
      <w:pPr>
        <w:spacing w:after="0" w:line="240" w:lineRule="auto"/>
      </w:pPr>
      <w:r>
        <w:separator/>
      </w:r>
    </w:p>
  </w:footnote>
  <w:footnote w:type="continuationSeparator" w:id="0">
    <w:p w:rsidR="009A379C" w:rsidRDefault="009A379C" w:rsidP="00B33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8F" w:rsidRDefault="00361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8F" w:rsidRDefault="00361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8F" w:rsidRDefault="00361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7CE5"/>
    <w:multiLevelType w:val="hybridMultilevel"/>
    <w:tmpl w:val="4F9A5EA4"/>
    <w:lvl w:ilvl="0" w:tplc="35B85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665027"/>
    <w:multiLevelType w:val="hybridMultilevel"/>
    <w:tmpl w:val="0FFCA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15961"/>
    <w:multiLevelType w:val="hybridMultilevel"/>
    <w:tmpl w:val="5CCC69B4"/>
    <w:lvl w:ilvl="0" w:tplc="CE866D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F91D69"/>
    <w:multiLevelType w:val="hybridMultilevel"/>
    <w:tmpl w:val="5F34D55E"/>
    <w:lvl w:ilvl="0" w:tplc="709E0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787763"/>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2F4565"/>
    <w:multiLevelType w:val="hybridMultilevel"/>
    <w:tmpl w:val="041AA1EC"/>
    <w:lvl w:ilvl="0" w:tplc="B23409C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53397F"/>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0D"/>
    <w:rsid w:val="000001F4"/>
    <w:rsid w:val="00011510"/>
    <w:rsid w:val="00015FEA"/>
    <w:rsid w:val="00036E73"/>
    <w:rsid w:val="00045DCA"/>
    <w:rsid w:val="00046ED6"/>
    <w:rsid w:val="000559EB"/>
    <w:rsid w:val="00076806"/>
    <w:rsid w:val="000775D6"/>
    <w:rsid w:val="00080483"/>
    <w:rsid w:val="00095042"/>
    <w:rsid w:val="000A0850"/>
    <w:rsid w:val="000B1DE5"/>
    <w:rsid w:val="000B3037"/>
    <w:rsid w:val="000C4D6F"/>
    <w:rsid w:val="000C6D68"/>
    <w:rsid w:val="000C7BBB"/>
    <w:rsid w:val="000D4448"/>
    <w:rsid w:val="000E753A"/>
    <w:rsid w:val="000E764D"/>
    <w:rsid w:val="000F6385"/>
    <w:rsid w:val="000F689E"/>
    <w:rsid w:val="0010077E"/>
    <w:rsid w:val="00104182"/>
    <w:rsid w:val="00106D3B"/>
    <w:rsid w:val="00110C20"/>
    <w:rsid w:val="0011277A"/>
    <w:rsid w:val="0011382F"/>
    <w:rsid w:val="001150B4"/>
    <w:rsid w:val="00122B00"/>
    <w:rsid w:val="0012789D"/>
    <w:rsid w:val="001456FA"/>
    <w:rsid w:val="00156952"/>
    <w:rsid w:val="00157C29"/>
    <w:rsid w:val="00160A07"/>
    <w:rsid w:val="00162293"/>
    <w:rsid w:val="00163895"/>
    <w:rsid w:val="00167C6D"/>
    <w:rsid w:val="0017063D"/>
    <w:rsid w:val="00185DD0"/>
    <w:rsid w:val="001A4E6A"/>
    <w:rsid w:val="001C720B"/>
    <w:rsid w:val="001D275A"/>
    <w:rsid w:val="00202C2B"/>
    <w:rsid w:val="00220280"/>
    <w:rsid w:val="002226F4"/>
    <w:rsid w:val="00235D9B"/>
    <w:rsid w:val="002448FF"/>
    <w:rsid w:val="002542DC"/>
    <w:rsid w:val="00264763"/>
    <w:rsid w:val="00273F6E"/>
    <w:rsid w:val="00283B73"/>
    <w:rsid w:val="002841EB"/>
    <w:rsid w:val="00284238"/>
    <w:rsid w:val="002A599B"/>
    <w:rsid w:val="002C4EFE"/>
    <w:rsid w:val="002D123A"/>
    <w:rsid w:val="002D35D3"/>
    <w:rsid w:val="002D4B97"/>
    <w:rsid w:val="002E4A98"/>
    <w:rsid w:val="002E5E5C"/>
    <w:rsid w:val="002E7A0A"/>
    <w:rsid w:val="002F0429"/>
    <w:rsid w:val="002F487B"/>
    <w:rsid w:val="002F7950"/>
    <w:rsid w:val="0030101A"/>
    <w:rsid w:val="00316EDD"/>
    <w:rsid w:val="00324B7D"/>
    <w:rsid w:val="003265BA"/>
    <w:rsid w:val="00326F70"/>
    <w:rsid w:val="00330FE8"/>
    <w:rsid w:val="00330FEC"/>
    <w:rsid w:val="00333902"/>
    <w:rsid w:val="0034635B"/>
    <w:rsid w:val="0035725D"/>
    <w:rsid w:val="003610C3"/>
    <w:rsid w:val="00361A8F"/>
    <w:rsid w:val="003754B2"/>
    <w:rsid w:val="00386BA8"/>
    <w:rsid w:val="00397AC6"/>
    <w:rsid w:val="003A7003"/>
    <w:rsid w:val="003D75F6"/>
    <w:rsid w:val="003E170B"/>
    <w:rsid w:val="003E419C"/>
    <w:rsid w:val="003F5B2A"/>
    <w:rsid w:val="003F6435"/>
    <w:rsid w:val="004021AC"/>
    <w:rsid w:val="00410731"/>
    <w:rsid w:val="00426B02"/>
    <w:rsid w:val="004274F5"/>
    <w:rsid w:val="00447F0D"/>
    <w:rsid w:val="00450938"/>
    <w:rsid w:val="0045710D"/>
    <w:rsid w:val="004637DA"/>
    <w:rsid w:val="00463D7C"/>
    <w:rsid w:val="004654F1"/>
    <w:rsid w:val="00480250"/>
    <w:rsid w:val="004872D1"/>
    <w:rsid w:val="004B0C0D"/>
    <w:rsid w:val="004D35AB"/>
    <w:rsid w:val="004D3696"/>
    <w:rsid w:val="004E49E1"/>
    <w:rsid w:val="004E6AE8"/>
    <w:rsid w:val="004F5DCC"/>
    <w:rsid w:val="00514597"/>
    <w:rsid w:val="0051543D"/>
    <w:rsid w:val="00520F65"/>
    <w:rsid w:val="00526B9B"/>
    <w:rsid w:val="00534126"/>
    <w:rsid w:val="005528A9"/>
    <w:rsid w:val="00562C61"/>
    <w:rsid w:val="0056380A"/>
    <w:rsid w:val="005711B6"/>
    <w:rsid w:val="0058056E"/>
    <w:rsid w:val="00580B1F"/>
    <w:rsid w:val="005C7810"/>
    <w:rsid w:val="005D5209"/>
    <w:rsid w:val="005D6C92"/>
    <w:rsid w:val="00607892"/>
    <w:rsid w:val="00612134"/>
    <w:rsid w:val="00613009"/>
    <w:rsid w:val="006209E4"/>
    <w:rsid w:val="006256F0"/>
    <w:rsid w:val="00630613"/>
    <w:rsid w:val="006440D7"/>
    <w:rsid w:val="00651321"/>
    <w:rsid w:val="0065788F"/>
    <w:rsid w:val="00660E8C"/>
    <w:rsid w:val="00663B22"/>
    <w:rsid w:val="00681626"/>
    <w:rsid w:val="00681E39"/>
    <w:rsid w:val="00683DEE"/>
    <w:rsid w:val="00684DCD"/>
    <w:rsid w:val="006927A1"/>
    <w:rsid w:val="00696471"/>
    <w:rsid w:val="006A1492"/>
    <w:rsid w:val="006A388C"/>
    <w:rsid w:val="006B18DF"/>
    <w:rsid w:val="006C7CDD"/>
    <w:rsid w:val="006D560B"/>
    <w:rsid w:val="006D6A66"/>
    <w:rsid w:val="006E2ACA"/>
    <w:rsid w:val="006F265D"/>
    <w:rsid w:val="006F5E2D"/>
    <w:rsid w:val="006F7620"/>
    <w:rsid w:val="00700B53"/>
    <w:rsid w:val="00713DF7"/>
    <w:rsid w:val="00725993"/>
    <w:rsid w:val="00734619"/>
    <w:rsid w:val="007436FB"/>
    <w:rsid w:val="00746B17"/>
    <w:rsid w:val="00755BBD"/>
    <w:rsid w:val="00765CE2"/>
    <w:rsid w:val="00767A92"/>
    <w:rsid w:val="00772233"/>
    <w:rsid w:val="00773555"/>
    <w:rsid w:val="00774035"/>
    <w:rsid w:val="00785DEC"/>
    <w:rsid w:val="00796F74"/>
    <w:rsid w:val="007A48C0"/>
    <w:rsid w:val="007C170D"/>
    <w:rsid w:val="007C6DE8"/>
    <w:rsid w:val="007D46BC"/>
    <w:rsid w:val="007E03A3"/>
    <w:rsid w:val="007F4BE6"/>
    <w:rsid w:val="00824E94"/>
    <w:rsid w:val="00851992"/>
    <w:rsid w:val="00867EF9"/>
    <w:rsid w:val="00881553"/>
    <w:rsid w:val="008848F7"/>
    <w:rsid w:val="0088678D"/>
    <w:rsid w:val="0089011B"/>
    <w:rsid w:val="00894FA1"/>
    <w:rsid w:val="008A7E2E"/>
    <w:rsid w:val="008B1440"/>
    <w:rsid w:val="008B16DD"/>
    <w:rsid w:val="008B545B"/>
    <w:rsid w:val="008C0622"/>
    <w:rsid w:val="008C1628"/>
    <w:rsid w:val="008D3DDA"/>
    <w:rsid w:val="008D6DEB"/>
    <w:rsid w:val="008E49F5"/>
    <w:rsid w:val="008F0978"/>
    <w:rsid w:val="00911037"/>
    <w:rsid w:val="0091339A"/>
    <w:rsid w:val="00977461"/>
    <w:rsid w:val="00984372"/>
    <w:rsid w:val="0099769F"/>
    <w:rsid w:val="009A379C"/>
    <w:rsid w:val="009B0BAA"/>
    <w:rsid w:val="009B2182"/>
    <w:rsid w:val="009C0DDC"/>
    <w:rsid w:val="009C37B2"/>
    <w:rsid w:val="009C76B1"/>
    <w:rsid w:val="009C7AC1"/>
    <w:rsid w:val="009D2B0D"/>
    <w:rsid w:val="009E215C"/>
    <w:rsid w:val="009E226B"/>
    <w:rsid w:val="009F06A8"/>
    <w:rsid w:val="009F0B43"/>
    <w:rsid w:val="009F11ED"/>
    <w:rsid w:val="009F4133"/>
    <w:rsid w:val="00A031A8"/>
    <w:rsid w:val="00A1015A"/>
    <w:rsid w:val="00A12FA0"/>
    <w:rsid w:val="00A1435E"/>
    <w:rsid w:val="00A23466"/>
    <w:rsid w:val="00A35A28"/>
    <w:rsid w:val="00A361E2"/>
    <w:rsid w:val="00A40C34"/>
    <w:rsid w:val="00A41687"/>
    <w:rsid w:val="00A54A30"/>
    <w:rsid w:val="00A6693E"/>
    <w:rsid w:val="00AA0675"/>
    <w:rsid w:val="00AA5653"/>
    <w:rsid w:val="00AA5900"/>
    <w:rsid w:val="00AB0BBC"/>
    <w:rsid w:val="00AD3EC3"/>
    <w:rsid w:val="00AE4B1A"/>
    <w:rsid w:val="00B10011"/>
    <w:rsid w:val="00B11771"/>
    <w:rsid w:val="00B20C41"/>
    <w:rsid w:val="00B3278B"/>
    <w:rsid w:val="00B33BC4"/>
    <w:rsid w:val="00B44608"/>
    <w:rsid w:val="00B544E0"/>
    <w:rsid w:val="00B56088"/>
    <w:rsid w:val="00B74E31"/>
    <w:rsid w:val="00B76FD2"/>
    <w:rsid w:val="00B85DA1"/>
    <w:rsid w:val="00BB5BC3"/>
    <w:rsid w:val="00BC4F92"/>
    <w:rsid w:val="00BC793A"/>
    <w:rsid w:val="00BD139C"/>
    <w:rsid w:val="00BF0AF8"/>
    <w:rsid w:val="00C22F9D"/>
    <w:rsid w:val="00C25C08"/>
    <w:rsid w:val="00C363A8"/>
    <w:rsid w:val="00C66DAF"/>
    <w:rsid w:val="00C66EB6"/>
    <w:rsid w:val="00C76165"/>
    <w:rsid w:val="00C76D26"/>
    <w:rsid w:val="00C824AF"/>
    <w:rsid w:val="00C92B59"/>
    <w:rsid w:val="00C931E2"/>
    <w:rsid w:val="00C93399"/>
    <w:rsid w:val="00CA517C"/>
    <w:rsid w:val="00CA7419"/>
    <w:rsid w:val="00CB3AD0"/>
    <w:rsid w:val="00CE6084"/>
    <w:rsid w:val="00CE725E"/>
    <w:rsid w:val="00D16980"/>
    <w:rsid w:val="00D27AAD"/>
    <w:rsid w:val="00D55B7F"/>
    <w:rsid w:val="00D63DE4"/>
    <w:rsid w:val="00D646F6"/>
    <w:rsid w:val="00D77B00"/>
    <w:rsid w:val="00D82A5C"/>
    <w:rsid w:val="00D84ECD"/>
    <w:rsid w:val="00DA3C58"/>
    <w:rsid w:val="00DA4D1C"/>
    <w:rsid w:val="00DD1EDA"/>
    <w:rsid w:val="00DE4C47"/>
    <w:rsid w:val="00DF7AF3"/>
    <w:rsid w:val="00E01C3D"/>
    <w:rsid w:val="00E170B8"/>
    <w:rsid w:val="00E32966"/>
    <w:rsid w:val="00E3363B"/>
    <w:rsid w:val="00E432EB"/>
    <w:rsid w:val="00E50CC2"/>
    <w:rsid w:val="00E52E17"/>
    <w:rsid w:val="00E54E2B"/>
    <w:rsid w:val="00E62353"/>
    <w:rsid w:val="00E71E47"/>
    <w:rsid w:val="00E74225"/>
    <w:rsid w:val="00E81170"/>
    <w:rsid w:val="00E854AF"/>
    <w:rsid w:val="00E87489"/>
    <w:rsid w:val="00EB19B7"/>
    <w:rsid w:val="00EB5B73"/>
    <w:rsid w:val="00EE6AA6"/>
    <w:rsid w:val="00EF34F1"/>
    <w:rsid w:val="00EF4C98"/>
    <w:rsid w:val="00F03E34"/>
    <w:rsid w:val="00F13ABB"/>
    <w:rsid w:val="00F2744E"/>
    <w:rsid w:val="00F46718"/>
    <w:rsid w:val="00F56566"/>
    <w:rsid w:val="00F57A7B"/>
    <w:rsid w:val="00F71A9B"/>
    <w:rsid w:val="00F73F8D"/>
    <w:rsid w:val="00F85338"/>
    <w:rsid w:val="00F85DE6"/>
    <w:rsid w:val="00F93B11"/>
    <w:rsid w:val="00F93C72"/>
    <w:rsid w:val="00FA3DCC"/>
    <w:rsid w:val="00FC5A10"/>
    <w:rsid w:val="00FD3B5A"/>
    <w:rsid w:val="00FF5C7A"/>
    <w:rsid w:val="15DAB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0D"/>
    <w:rPr>
      <w:rFonts w:ascii="Tahoma" w:hAnsi="Tahoma" w:cs="Tahoma"/>
      <w:sz w:val="16"/>
      <w:szCs w:val="16"/>
    </w:rPr>
  </w:style>
  <w:style w:type="table" w:styleId="TableGrid">
    <w:name w:val="Table Grid"/>
    <w:basedOn w:val="TableNormal"/>
    <w:uiPriority w:val="59"/>
    <w:rsid w:val="004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10D"/>
    <w:rPr>
      <w:color w:val="0000FF"/>
      <w:u w:val="single"/>
    </w:rPr>
  </w:style>
  <w:style w:type="paragraph" w:styleId="ListParagraph">
    <w:name w:val="List Paragraph"/>
    <w:basedOn w:val="Normal"/>
    <w:uiPriority w:val="34"/>
    <w:qFormat/>
    <w:rsid w:val="00C76D26"/>
    <w:pPr>
      <w:ind w:left="720"/>
      <w:contextualSpacing/>
    </w:pPr>
  </w:style>
  <w:style w:type="character" w:styleId="FollowedHyperlink">
    <w:name w:val="FollowedHyperlink"/>
    <w:basedOn w:val="DefaultParagraphFont"/>
    <w:uiPriority w:val="99"/>
    <w:semiHidden/>
    <w:unhideWhenUsed/>
    <w:rsid w:val="008F0978"/>
    <w:rPr>
      <w:color w:val="919191" w:themeColor="followedHyperlink"/>
      <w:u w:val="single"/>
    </w:rPr>
  </w:style>
  <w:style w:type="paragraph" w:styleId="Header">
    <w:name w:val="header"/>
    <w:basedOn w:val="Normal"/>
    <w:link w:val="HeaderChar"/>
    <w:uiPriority w:val="99"/>
    <w:unhideWhenUsed/>
    <w:rsid w:val="00B33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BC4"/>
  </w:style>
  <w:style w:type="paragraph" w:styleId="Footer">
    <w:name w:val="footer"/>
    <w:basedOn w:val="Normal"/>
    <w:link w:val="FooterChar"/>
    <w:uiPriority w:val="99"/>
    <w:unhideWhenUsed/>
    <w:rsid w:val="00B33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0D"/>
    <w:rPr>
      <w:rFonts w:ascii="Tahoma" w:hAnsi="Tahoma" w:cs="Tahoma"/>
      <w:sz w:val="16"/>
      <w:szCs w:val="16"/>
    </w:rPr>
  </w:style>
  <w:style w:type="table" w:styleId="TableGrid">
    <w:name w:val="Table Grid"/>
    <w:basedOn w:val="TableNormal"/>
    <w:uiPriority w:val="59"/>
    <w:rsid w:val="004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10D"/>
    <w:rPr>
      <w:color w:val="0000FF"/>
      <w:u w:val="single"/>
    </w:rPr>
  </w:style>
  <w:style w:type="paragraph" w:styleId="ListParagraph">
    <w:name w:val="List Paragraph"/>
    <w:basedOn w:val="Normal"/>
    <w:uiPriority w:val="34"/>
    <w:qFormat/>
    <w:rsid w:val="00C76D26"/>
    <w:pPr>
      <w:ind w:left="720"/>
      <w:contextualSpacing/>
    </w:pPr>
  </w:style>
  <w:style w:type="character" w:styleId="FollowedHyperlink">
    <w:name w:val="FollowedHyperlink"/>
    <w:basedOn w:val="DefaultParagraphFont"/>
    <w:uiPriority w:val="99"/>
    <w:semiHidden/>
    <w:unhideWhenUsed/>
    <w:rsid w:val="008F0978"/>
    <w:rPr>
      <w:color w:val="919191" w:themeColor="followedHyperlink"/>
      <w:u w:val="single"/>
    </w:rPr>
  </w:style>
  <w:style w:type="paragraph" w:styleId="Header">
    <w:name w:val="header"/>
    <w:basedOn w:val="Normal"/>
    <w:link w:val="HeaderChar"/>
    <w:uiPriority w:val="99"/>
    <w:unhideWhenUsed/>
    <w:rsid w:val="00B33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BC4"/>
  </w:style>
  <w:style w:type="paragraph" w:styleId="Footer">
    <w:name w:val="footer"/>
    <w:basedOn w:val="Normal"/>
    <w:link w:val="FooterChar"/>
    <w:uiPriority w:val="99"/>
    <w:unhideWhenUsed/>
    <w:rsid w:val="00B33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8061">
      <w:bodyDiv w:val="1"/>
      <w:marLeft w:val="0"/>
      <w:marRight w:val="0"/>
      <w:marTop w:val="0"/>
      <w:marBottom w:val="0"/>
      <w:divBdr>
        <w:top w:val="none" w:sz="0" w:space="0" w:color="auto"/>
        <w:left w:val="none" w:sz="0" w:space="0" w:color="auto"/>
        <w:bottom w:val="none" w:sz="0" w:space="0" w:color="auto"/>
        <w:right w:val="none" w:sz="0" w:space="0" w:color="auto"/>
      </w:divBdr>
    </w:div>
    <w:div w:id="230888944">
      <w:bodyDiv w:val="1"/>
      <w:marLeft w:val="0"/>
      <w:marRight w:val="0"/>
      <w:marTop w:val="0"/>
      <w:marBottom w:val="0"/>
      <w:divBdr>
        <w:top w:val="none" w:sz="0" w:space="0" w:color="auto"/>
        <w:left w:val="none" w:sz="0" w:space="0" w:color="auto"/>
        <w:bottom w:val="none" w:sz="0" w:space="0" w:color="auto"/>
        <w:right w:val="none" w:sz="0" w:space="0" w:color="auto"/>
      </w:divBdr>
    </w:div>
    <w:div w:id="282883153">
      <w:bodyDiv w:val="1"/>
      <w:marLeft w:val="0"/>
      <w:marRight w:val="0"/>
      <w:marTop w:val="0"/>
      <w:marBottom w:val="0"/>
      <w:divBdr>
        <w:top w:val="none" w:sz="0" w:space="0" w:color="auto"/>
        <w:left w:val="none" w:sz="0" w:space="0" w:color="auto"/>
        <w:bottom w:val="none" w:sz="0" w:space="0" w:color="auto"/>
        <w:right w:val="none" w:sz="0" w:space="0" w:color="auto"/>
      </w:divBdr>
    </w:div>
    <w:div w:id="373506145">
      <w:bodyDiv w:val="1"/>
      <w:marLeft w:val="0"/>
      <w:marRight w:val="0"/>
      <w:marTop w:val="0"/>
      <w:marBottom w:val="0"/>
      <w:divBdr>
        <w:top w:val="none" w:sz="0" w:space="0" w:color="auto"/>
        <w:left w:val="none" w:sz="0" w:space="0" w:color="auto"/>
        <w:bottom w:val="none" w:sz="0" w:space="0" w:color="auto"/>
        <w:right w:val="none" w:sz="0" w:space="0" w:color="auto"/>
      </w:divBdr>
    </w:div>
    <w:div w:id="410469856">
      <w:bodyDiv w:val="1"/>
      <w:marLeft w:val="0"/>
      <w:marRight w:val="0"/>
      <w:marTop w:val="0"/>
      <w:marBottom w:val="0"/>
      <w:divBdr>
        <w:top w:val="none" w:sz="0" w:space="0" w:color="auto"/>
        <w:left w:val="none" w:sz="0" w:space="0" w:color="auto"/>
        <w:bottom w:val="none" w:sz="0" w:space="0" w:color="auto"/>
        <w:right w:val="none" w:sz="0" w:space="0" w:color="auto"/>
      </w:divBdr>
    </w:div>
    <w:div w:id="541401911">
      <w:bodyDiv w:val="1"/>
      <w:marLeft w:val="0"/>
      <w:marRight w:val="0"/>
      <w:marTop w:val="0"/>
      <w:marBottom w:val="0"/>
      <w:divBdr>
        <w:top w:val="none" w:sz="0" w:space="0" w:color="auto"/>
        <w:left w:val="none" w:sz="0" w:space="0" w:color="auto"/>
        <w:bottom w:val="none" w:sz="0" w:space="0" w:color="auto"/>
        <w:right w:val="none" w:sz="0" w:space="0" w:color="auto"/>
      </w:divBdr>
    </w:div>
    <w:div w:id="720448212">
      <w:bodyDiv w:val="1"/>
      <w:marLeft w:val="0"/>
      <w:marRight w:val="0"/>
      <w:marTop w:val="0"/>
      <w:marBottom w:val="0"/>
      <w:divBdr>
        <w:top w:val="none" w:sz="0" w:space="0" w:color="auto"/>
        <w:left w:val="none" w:sz="0" w:space="0" w:color="auto"/>
        <w:bottom w:val="none" w:sz="0" w:space="0" w:color="auto"/>
        <w:right w:val="none" w:sz="0" w:space="0" w:color="auto"/>
      </w:divBdr>
    </w:div>
    <w:div w:id="893662771">
      <w:bodyDiv w:val="1"/>
      <w:marLeft w:val="0"/>
      <w:marRight w:val="0"/>
      <w:marTop w:val="0"/>
      <w:marBottom w:val="0"/>
      <w:divBdr>
        <w:top w:val="none" w:sz="0" w:space="0" w:color="auto"/>
        <w:left w:val="none" w:sz="0" w:space="0" w:color="auto"/>
        <w:bottom w:val="none" w:sz="0" w:space="0" w:color="auto"/>
        <w:right w:val="none" w:sz="0" w:space="0" w:color="auto"/>
      </w:divBdr>
    </w:div>
    <w:div w:id="909384342">
      <w:bodyDiv w:val="1"/>
      <w:marLeft w:val="0"/>
      <w:marRight w:val="0"/>
      <w:marTop w:val="0"/>
      <w:marBottom w:val="0"/>
      <w:divBdr>
        <w:top w:val="none" w:sz="0" w:space="0" w:color="auto"/>
        <w:left w:val="none" w:sz="0" w:space="0" w:color="auto"/>
        <w:bottom w:val="none" w:sz="0" w:space="0" w:color="auto"/>
        <w:right w:val="none" w:sz="0" w:space="0" w:color="auto"/>
      </w:divBdr>
    </w:div>
    <w:div w:id="1007555667">
      <w:bodyDiv w:val="1"/>
      <w:marLeft w:val="0"/>
      <w:marRight w:val="0"/>
      <w:marTop w:val="0"/>
      <w:marBottom w:val="0"/>
      <w:divBdr>
        <w:top w:val="none" w:sz="0" w:space="0" w:color="auto"/>
        <w:left w:val="none" w:sz="0" w:space="0" w:color="auto"/>
        <w:bottom w:val="none" w:sz="0" w:space="0" w:color="auto"/>
        <w:right w:val="none" w:sz="0" w:space="0" w:color="auto"/>
      </w:divBdr>
    </w:div>
    <w:div w:id="1031884391">
      <w:bodyDiv w:val="1"/>
      <w:marLeft w:val="0"/>
      <w:marRight w:val="0"/>
      <w:marTop w:val="0"/>
      <w:marBottom w:val="0"/>
      <w:divBdr>
        <w:top w:val="none" w:sz="0" w:space="0" w:color="auto"/>
        <w:left w:val="none" w:sz="0" w:space="0" w:color="auto"/>
        <w:bottom w:val="none" w:sz="0" w:space="0" w:color="auto"/>
        <w:right w:val="none" w:sz="0" w:space="0" w:color="auto"/>
      </w:divBdr>
    </w:div>
    <w:div w:id="1044868430">
      <w:bodyDiv w:val="1"/>
      <w:marLeft w:val="0"/>
      <w:marRight w:val="0"/>
      <w:marTop w:val="0"/>
      <w:marBottom w:val="0"/>
      <w:divBdr>
        <w:top w:val="none" w:sz="0" w:space="0" w:color="auto"/>
        <w:left w:val="none" w:sz="0" w:space="0" w:color="auto"/>
        <w:bottom w:val="none" w:sz="0" w:space="0" w:color="auto"/>
        <w:right w:val="none" w:sz="0" w:space="0" w:color="auto"/>
      </w:divBdr>
    </w:div>
    <w:div w:id="1068109259">
      <w:bodyDiv w:val="1"/>
      <w:marLeft w:val="0"/>
      <w:marRight w:val="0"/>
      <w:marTop w:val="0"/>
      <w:marBottom w:val="0"/>
      <w:divBdr>
        <w:top w:val="none" w:sz="0" w:space="0" w:color="auto"/>
        <w:left w:val="none" w:sz="0" w:space="0" w:color="auto"/>
        <w:bottom w:val="none" w:sz="0" w:space="0" w:color="auto"/>
        <w:right w:val="none" w:sz="0" w:space="0" w:color="auto"/>
      </w:divBdr>
    </w:div>
    <w:div w:id="1162701192">
      <w:bodyDiv w:val="1"/>
      <w:marLeft w:val="0"/>
      <w:marRight w:val="0"/>
      <w:marTop w:val="0"/>
      <w:marBottom w:val="0"/>
      <w:divBdr>
        <w:top w:val="none" w:sz="0" w:space="0" w:color="auto"/>
        <w:left w:val="none" w:sz="0" w:space="0" w:color="auto"/>
        <w:bottom w:val="none" w:sz="0" w:space="0" w:color="auto"/>
        <w:right w:val="none" w:sz="0" w:space="0" w:color="auto"/>
      </w:divBdr>
    </w:div>
    <w:div w:id="1364401552">
      <w:bodyDiv w:val="1"/>
      <w:marLeft w:val="0"/>
      <w:marRight w:val="0"/>
      <w:marTop w:val="0"/>
      <w:marBottom w:val="0"/>
      <w:divBdr>
        <w:top w:val="none" w:sz="0" w:space="0" w:color="auto"/>
        <w:left w:val="none" w:sz="0" w:space="0" w:color="auto"/>
        <w:bottom w:val="none" w:sz="0" w:space="0" w:color="auto"/>
        <w:right w:val="none" w:sz="0" w:space="0" w:color="auto"/>
      </w:divBdr>
    </w:div>
    <w:div w:id="1488134222">
      <w:bodyDiv w:val="1"/>
      <w:marLeft w:val="0"/>
      <w:marRight w:val="0"/>
      <w:marTop w:val="0"/>
      <w:marBottom w:val="0"/>
      <w:divBdr>
        <w:top w:val="none" w:sz="0" w:space="0" w:color="auto"/>
        <w:left w:val="none" w:sz="0" w:space="0" w:color="auto"/>
        <w:bottom w:val="none" w:sz="0" w:space="0" w:color="auto"/>
        <w:right w:val="none" w:sz="0" w:space="0" w:color="auto"/>
      </w:divBdr>
    </w:div>
    <w:div w:id="1510294108">
      <w:bodyDiv w:val="1"/>
      <w:marLeft w:val="0"/>
      <w:marRight w:val="0"/>
      <w:marTop w:val="0"/>
      <w:marBottom w:val="0"/>
      <w:divBdr>
        <w:top w:val="none" w:sz="0" w:space="0" w:color="auto"/>
        <w:left w:val="none" w:sz="0" w:space="0" w:color="auto"/>
        <w:bottom w:val="none" w:sz="0" w:space="0" w:color="auto"/>
        <w:right w:val="none" w:sz="0" w:space="0" w:color="auto"/>
      </w:divBdr>
    </w:div>
    <w:div w:id="1554079382">
      <w:bodyDiv w:val="1"/>
      <w:marLeft w:val="0"/>
      <w:marRight w:val="0"/>
      <w:marTop w:val="0"/>
      <w:marBottom w:val="0"/>
      <w:divBdr>
        <w:top w:val="none" w:sz="0" w:space="0" w:color="auto"/>
        <w:left w:val="none" w:sz="0" w:space="0" w:color="auto"/>
        <w:bottom w:val="none" w:sz="0" w:space="0" w:color="auto"/>
        <w:right w:val="none" w:sz="0" w:space="0" w:color="auto"/>
      </w:divBdr>
    </w:div>
    <w:div w:id="1591892275">
      <w:bodyDiv w:val="1"/>
      <w:marLeft w:val="0"/>
      <w:marRight w:val="0"/>
      <w:marTop w:val="0"/>
      <w:marBottom w:val="0"/>
      <w:divBdr>
        <w:top w:val="none" w:sz="0" w:space="0" w:color="auto"/>
        <w:left w:val="none" w:sz="0" w:space="0" w:color="auto"/>
        <w:bottom w:val="none" w:sz="0" w:space="0" w:color="auto"/>
        <w:right w:val="none" w:sz="0" w:space="0" w:color="auto"/>
      </w:divBdr>
    </w:div>
    <w:div w:id="1613441922">
      <w:bodyDiv w:val="1"/>
      <w:marLeft w:val="0"/>
      <w:marRight w:val="0"/>
      <w:marTop w:val="0"/>
      <w:marBottom w:val="0"/>
      <w:divBdr>
        <w:top w:val="none" w:sz="0" w:space="0" w:color="auto"/>
        <w:left w:val="none" w:sz="0" w:space="0" w:color="auto"/>
        <w:bottom w:val="none" w:sz="0" w:space="0" w:color="auto"/>
        <w:right w:val="none" w:sz="0" w:space="0" w:color="auto"/>
      </w:divBdr>
    </w:div>
    <w:div w:id="1658071439">
      <w:bodyDiv w:val="1"/>
      <w:marLeft w:val="0"/>
      <w:marRight w:val="0"/>
      <w:marTop w:val="0"/>
      <w:marBottom w:val="0"/>
      <w:divBdr>
        <w:top w:val="none" w:sz="0" w:space="0" w:color="auto"/>
        <w:left w:val="none" w:sz="0" w:space="0" w:color="auto"/>
        <w:bottom w:val="none" w:sz="0" w:space="0" w:color="auto"/>
        <w:right w:val="none" w:sz="0" w:space="0" w:color="auto"/>
      </w:divBdr>
    </w:div>
    <w:div w:id="1682783249">
      <w:bodyDiv w:val="1"/>
      <w:marLeft w:val="0"/>
      <w:marRight w:val="0"/>
      <w:marTop w:val="0"/>
      <w:marBottom w:val="0"/>
      <w:divBdr>
        <w:top w:val="none" w:sz="0" w:space="0" w:color="auto"/>
        <w:left w:val="none" w:sz="0" w:space="0" w:color="auto"/>
        <w:bottom w:val="none" w:sz="0" w:space="0" w:color="auto"/>
        <w:right w:val="none" w:sz="0" w:space="0" w:color="auto"/>
      </w:divBdr>
    </w:div>
    <w:div w:id="1712805411">
      <w:bodyDiv w:val="1"/>
      <w:marLeft w:val="0"/>
      <w:marRight w:val="0"/>
      <w:marTop w:val="0"/>
      <w:marBottom w:val="0"/>
      <w:divBdr>
        <w:top w:val="none" w:sz="0" w:space="0" w:color="auto"/>
        <w:left w:val="none" w:sz="0" w:space="0" w:color="auto"/>
        <w:bottom w:val="none" w:sz="0" w:space="0" w:color="auto"/>
        <w:right w:val="none" w:sz="0" w:space="0" w:color="auto"/>
      </w:divBdr>
    </w:div>
    <w:div w:id="1780371506">
      <w:bodyDiv w:val="1"/>
      <w:marLeft w:val="0"/>
      <w:marRight w:val="0"/>
      <w:marTop w:val="0"/>
      <w:marBottom w:val="0"/>
      <w:divBdr>
        <w:top w:val="none" w:sz="0" w:space="0" w:color="auto"/>
        <w:left w:val="none" w:sz="0" w:space="0" w:color="auto"/>
        <w:bottom w:val="none" w:sz="0" w:space="0" w:color="auto"/>
        <w:right w:val="none" w:sz="0" w:space="0" w:color="auto"/>
      </w:divBdr>
    </w:div>
    <w:div w:id="1817064486">
      <w:bodyDiv w:val="1"/>
      <w:marLeft w:val="0"/>
      <w:marRight w:val="0"/>
      <w:marTop w:val="0"/>
      <w:marBottom w:val="0"/>
      <w:divBdr>
        <w:top w:val="none" w:sz="0" w:space="0" w:color="auto"/>
        <w:left w:val="none" w:sz="0" w:space="0" w:color="auto"/>
        <w:bottom w:val="none" w:sz="0" w:space="0" w:color="auto"/>
        <w:right w:val="none" w:sz="0" w:space="0" w:color="auto"/>
      </w:divBdr>
    </w:div>
    <w:div w:id="1931814238">
      <w:bodyDiv w:val="1"/>
      <w:marLeft w:val="0"/>
      <w:marRight w:val="0"/>
      <w:marTop w:val="0"/>
      <w:marBottom w:val="0"/>
      <w:divBdr>
        <w:top w:val="none" w:sz="0" w:space="0" w:color="auto"/>
        <w:left w:val="none" w:sz="0" w:space="0" w:color="auto"/>
        <w:bottom w:val="none" w:sz="0" w:space="0" w:color="auto"/>
        <w:right w:val="none" w:sz="0" w:space="0" w:color="auto"/>
      </w:divBdr>
    </w:div>
    <w:div w:id="2004694684">
      <w:bodyDiv w:val="1"/>
      <w:marLeft w:val="0"/>
      <w:marRight w:val="0"/>
      <w:marTop w:val="0"/>
      <w:marBottom w:val="0"/>
      <w:divBdr>
        <w:top w:val="none" w:sz="0" w:space="0" w:color="auto"/>
        <w:left w:val="none" w:sz="0" w:space="0" w:color="auto"/>
        <w:bottom w:val="none" w:sz="0" w:space="0" w:color="auto"/>
        <w:right w:val="none" w:sz="0" w:space="0" w:color="auto"/>
      </w:divBdr>
    </w:div>
    <w:div w:id="2046442039">
      <w:bodyDiv w:val="1"/>
      <w:marLeft w:val="0"/>
      <w:marRight w:val="0"/>
      <w:marTop w:val="0"/>
      <w:marBottom w:val="0"/>
      <w:divBdr>
        <w:top w:val="none" w:sz="0" w:space="0" w:color="auto"/>
        <w:left w:val="none" w:sz="0" w:space="0" w:color="auto"/>
        <w:bottom w:val="none" w:sz="0" w:space="0" w:color="auto"/>
        <w:right w:val="none" w:sz="0" w:space="0" w:color="auto"/>
      </w:divBdr>
    </w:div>
    <w:div w:id="21065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pensionsadvisoryservice.org.uk/about-pensions/pensions-basics/workplace-pension-schemes?moreInfo=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ensionsadvisoryservice.org.uk/about-pensions/pensions-basics/workplace-pension-schemes?moreInfo=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722374F1A21489319064631E0C228" ma:contentTypeVersion="8" ma:contentTypeDescription="Create a new document." ma:contentTypeScope="" ma:versionID="27cb455a18cc803e4745d24ada3e5bb7">
  <xsd:schema xmlns:xsd="http://www.w3.org/2001/XMLSchema" xmlns:xs="http://www.w3.org/2001/XMLSchema" xmlns:p="http://schemas.microsoft.com/office/2006/metadata/properties" xmlns:ns3="77581051-47bf-4b91-91a5-8f395b47da70" xmlns:ns4="8a221bf3-c2b3-427f-84a1-d97b0e13abde" targetNamespace="http://schemas.microsoft.com/office/2006/metadata/properties" ma:root="true" ma:fieldsID="b195e3d8e458424613593bacd909fb77" ns3:_="" ns4:_="">
    <xsd:import namespace="77581051-47bf-4b91-91a5-8f395b47da70"/>
    <xsd:import namespace="8a221bf3-c2b3-427f-84a1-d97b0e13ab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81051-47bf-4b91-91a5-8f395b47da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1bf3-c2b3-427f-84a1-d97b0e13ab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FE62-55D5-4A11-8FF4-F2030D95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81051-47bf-4b91-91a5-8f395b47da70"/>
    <ds:schemaRef ds:uri="8a221bf3-c2b3-427f-84a1-d97b0e13a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74067-0A48-403D-B7AE-8D819F33DF00}">
  <ds:schemaRefs>
    <ds:schemaRef ds:uri="http://schemas.microsoft.com/sharepoint/v3/contenttype/forms"/>
  </ds:schemaRefs>
</ds:datastoreItem>
</file>

<file path=customXml/itemProps3.xml><?xml version="1.0" encoding="utf-8"?>
<ds:datastoreItem xmlns:ds="http://schemas.openxmlformats.org/officeDocument/2006/customXml" ds:itemID="{CB7A8A95-49D4-4126-9BC0-17BEDBF06503}">
  <ds:schemaRefs>
    <ds:schemaRef ds:uri="http://purl.org/dc/terms/"/>
    <ds:schemaRef ds:uri="http://purl.org/dc/dcmitype/"/>
    <ds:schemaRef ds:uri="http://schemas.microsoft.com/office/2006/documentManagement/types"/>
    <ds:schemaRef ds:uri="77581051-47bf-4b91-91a5-8f395b47da70"/>
    <ds:schemaRef ds:uri="http://purl.org/dc/elements/1.1/"/>
    <ds:schemaRef ds:uri="http://schemas.microsoft.com/office/infopath/2007/PartnerControls"/>
    <ds:schemaRef ds:uri="http://schemas.openxmlformats.org/package/2006/metadata/core-properties"/>
    <ds:schemaRef ds:uri="8a221bf3-c2b3-427f-84a1-d97b0e13abd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9C9833-B6BE-49BC-B40E-ECFE8617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John Tiltman</cp:lastModifiedBy>
  <cp:revision>3</cp:revision>
  <cp:lastPrinted>2020-03-11T17:12:00Z</cp:lastPrinted>
  <dcterms:created xsi:type="dcterms:W3CDTF">2020-03-12T09:08:00Z</dcterms:created>
  <dcterms:modified xsi:type="dcterms:W3CDTF">2020-03-12T09:19:00Z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0x010100B34722374F1A21489319064631E0C228</vt:lpwstr>
  </property>
</Properties>
</file>